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F5C8F" w14:textId="34E08E56" w:rsidR="00830D3C" w:rsidRPr="00B867F5" w:rsidRDefault="00652508" w:rsidP="00B867F5">
      <w:pPr>
        <w:spacing w:after="120"/>
        <w:jc w:val="both"/>
        <w:rPr>
          <w:rFonts w:ascii="Arial" w:hAnsi="Arial" w:cs="Arial"/>
          <w:sz w:val="24"/>
          <w:szCs w:val="24"/>
        </w:rPr>
      </w:pPr>
      <w:r>
        <w:rPr>
          <w:rFonts w:ascii="Arial" w:hAnsi="Arial" w:cs="Arial"/>
          <w:sz w:val="24"/>
          <w:szCs w:val="24"/>
        </w:rPr>
        <w:t>11</w:t>
      </w:r>
      <w:r w:rsidR="00104B1B">
        <w:rPr>
          <w:rFonts w:ascii="Arial" w:hAnsi="Arial" w:cs="Arial"/>
          <w:sz w:val="24"/>
          <w:szCs w:val="24"/>
        </w:rPr>
        <w:t xml:space="preserve"> October</w:t>
      </w:r>
      <w:r w:rsidR="00DE20F0">
        <w:rPr>
          <w:rFonts w:ascii="Arial" w:hAnsi="Arial" w:cs="Arial"/>
          <w:sz w:val="24"/>
          <w:szCs w:val="24"/>
        </w:rPr>
        <w:t xml:space="preserve"> 2017</w:t>
      </w:r>
    </w:p>
    <w:p w14:paraId="13DEABB3" w14:textId="77777777" w:rsidR="00136050" w:rsidRPr="00B867F5" w:rsidRDefault="00136050" w:rsidP="00B867F5">
      <w:pPr>
        <w:spacing w:after="120"/>
        <w:jc w:val="both"/>
        <w:rPr>
          <w:rFonts w:ascii="Arial" w:hAnsi="Arial" w:cs="Arial"/>
          <w:sz w:val="24"/>
          <w:szCs w:val="24"/>
        </w:rPr>
      </w:pPr>
    </w:p>
    <w:p w14:paraId="606DAC05" w14:textId="77777777" w:rsidR="00830D3C" w:rsidRPr="00B867F5" w:rsidRDefault="009E0418" w:rsidP="00B867F5">
      <w:pPr>
        <w:spacing w:after="120"/>
        <w:jc w:val="center"/>
        <w:rPr>
          <w:rFonts w:ascii="Arial" w:hAnsi="Arial" w:cs="Arial"/>
          <w:b/>
          <w:sz w:val="28"/>
          <w:szCs w:val="28"/>
        </w:rPr>
      </w:pPr>
      <w:r w:rsidRPr="00B867F5">
        <w:rPr>
          <w:rFonts w:ascii="Arial" w:hAnsi="Arial" w:cs="Arial"/>
          <w:b/>
          <w:sz w:val="28"/>
          <w:szCs w:val="28"/>
        </w:rPr>
        <w:t>Technical Working Group no. 3</w:t>
      </w:r>
    </w:p>
    <w:p w14:paraId="6A6D2C48" w14:textId="77777777" w:rsidR="00830D3C" w:rsidRPr="00B867F5" w:rsidRDefault="00830D3C" w:rsidP="00B867F5">
      <w:pPr>
        <w:spacing w:after="120"/>
        <w:jc w:val="center"/>
        <w:rPr>
          <w:rFonts w:ascii="Arial" w:hAnsi="Arial" w:cs="Arial"/>
          <w:b/>
          <w:sz w:val="28"/>
          <w:szCs w:val="28"/>
        </w:rPr>
      </w:pPr>
    </w:p>
    <w:p w14:paraId="7948B8A5" w14:textId="77777777" w:rsidR="009E0418" w:rsidRPr="00B867F5" w:rsidRDefault="009E0418" w:rsidP="00B867F5">
      <w:pPr>
        <w:spacing w:after="120"/>
        <w:jc w:val="center"/>
        <w:rPr>
          <w:rFonts w:ascii="Arial" w:hAnsi="Arial" w:cs="Arial"/>
          <w:b/>
          <w:sz w:val="28"/>
          <w:szCs w:val="28"/>
        </w:rPr>
      </w:pPr>
      <w:r w:rsidRPr="00FE6BE9">
        <w:rPr>
          <w:rFonts w:ascii="Arial" w:hAnsi="Arial" w:cs="Arial"/>
          <w:b/>
          <w:sz w:val="28"/>
          <w:szCs w:val="28"/>
        </w:rPr>
        <w:t>Performance management</w:t>
      </w:r>
      <w:r w:rsidR="00AB398D" w:rsidRPr="00FE6BE9">
        <w:rPr>
          <w:rFonts w:ascii="Arial" w:hAnsi="Arial" w:cs="Arial"/>
          <w:b/>
          <w:sz w:val="28"/>
          <w:szCs w:val="28"/>
        </w:rPr>
        <w:t xml:space="preserve"> – </w:t>
      </w:r>
      <w:r w:rsidRPr="00FE6BE9">
        <w:rPr>
          <w:rFonts w:ascii="Arial" w:hAnsi="Arial" w:cs="Arial"/>
          <w:b/>
          <w:sz w:val="28"/>
          <w:szCs w:val="28"/>
        </w:rPr>
        <w:t>impact assessment methodology</w:t>
      </w:r>
      <w:r w:rsidR="00830D3C" w:rsidRPr="00B867F5">
        <w:rPr>
          <w:rFonts w:ascii="Arial" w:hAnsi="Arial" w:cs="Arial"/>
          <w:b/>
          <w:sz w:val="28"/>
          <w:szCs w:val="28"/>
        </w:rPr>
        <w:t xml:space="preserve"> </w:t>
      </w:r>
    </w:p>
    <w:p w14:paraId="75E080C2" w14:textId="77777777" w:rsidR="00830D3C" w:rsidRPr="00B867F5" w:rsidRDefault="00830D3C" w:rsidP="00B867F5">
      <w:pPr>
        <w:spacing w:after="120"/>
        <w:jc w:val="center"/>
        <w:rPr>
          <w:rFonts w:ascii="Arial" w:hAnsi="Arial" w:cs="Arial"/>
          <w:b/>
          <w:sz w:val="28"/>
          <w:szCs w:val="28"/>
        </w:rPr>
      </w:pPr>
      <w:r w:rsidRPr="00B867F5">
        <w:rPr>
          <w:rFonts w:ascii="Arial" w:hAnsi="Arial" w:cs="Arial"/>
          <w:b/>
          <w:sz w:val="28"/>
          <w:szCs w:val="28"/>
        </w:rPr>
        <w:t>(IPA II</w:t>
      </w:r>
      <w:r w:rsidR="009E0418" w:rsidRPr="00B867F5">
        <w:rPr>
          <w:rFonts w:ascii="Arial" w:hAnsi="Arial" w:cs="Arial"/>
          <w:b/>
          <w:sz w:val="28"/>
          <w:szCs w:val="28"/>
        </w:rPr>
        <w:t xml:space="preserve"> CBC</w:t>
      </w:r>
      <w:r w:rsidRPr="00B867F5">
        <w:rPr>
          <w:rFonts w:ascii="Arial" w:hAnsi="Arial" w:cs="Arial"/>
          <w:b/>
          <w:sz w:val="28"/>
          <w:szCs w:val="28"/>
        </w:rPr>
        <w:t>)</w:t>
      </w:r>
    </w:p>
    <w:p w14:paraId="40B88531" w14:textId="77777777" w:rsidR="00FE2005" w:rsidRPr="00B867F5" w:rsidRDefault="00FE2005" w:rsidP="00B867F5">
      <w:pPr>
        <w:spacing w:after="120"/>
        <w:jc w:val="center"/>
        <w:rPr>
          <w:rFonts w:ascii="Arial" w:hAnsi="Arial" w:cs="Arial"/>
          <w:b/>
          <w:sz w:val="28"/>
          <w:szCs w:val="28"/>
        </w:rPr>
      </w:pPr>
    </w:p>
    <w:p w14:paraId="01DA863E" w14:textId="77777777" w:rsidR="00FE2005" w:rsidRDefault="00DE20F0" w:rsidP="00B867F5">
      <w:pPr>
        <w:spacing w:after="120"/>
        <w:jc w:val="center"/>
        <w:rPr>
          <w:rFonts w:ascii="Arial" w:hAnsi="Arial" w:cs="Arial"/>
          <w:b/>
          <w:sz w:val="28"/>
          <w:szCs w:val="28"/>
        </w:rPr>
      </w:pPr>
      <w:r w:rsidRPr="00DE20F0">
        <w:rPr>
          <w:rFonts w:ascii="Arial" w:hAnsi="Arial" w:cs="Arial"/>
          <w:b/>
          <w:sz w:val="28"/>
          <w:szCs w:val="28"/>
        </w:rPr>
        <w:t>Background Report on CBC Performance Framework</w:t>
      </w:r>
      <w:r w:rsidR="00FE2005" w:rsidRPr="00B867F5">
        <w:rPr>
          <w:rFonts w:ascii="Arial" w:hAnsi="Arial" w:cs="Arial"/>
          <w:b/>
          <w:sz w:val="28"/>
          <w:szCs w:val="28"/>
        </w:rPr>
        <w:t xml:space="preserve"> </w:t>
      </w:r>
    </w:p>
    <w:p w14:paraId="375C990B" w14:textId="25C13D34" w:rsidR="00575EAA" w:rsidRPr="00B867F5" w:rsidRDefault="00790F9C" w:rsidP="00B867F5">
      <w:pPr>
        <w:spacing w:after="120"/>
        <w:jc w:val="center"/>
        <w:rPr>
          <w:rFonts w:ascii="Arial" w:hAnsi="Arial" w:cs="Arial"/>
          <w:b/>
          <w:sz w:val="28"/>
          <w:szCs w:val="28"/>
        </w:rPr>
      </w:pPr>
      <w:r>
        <w:rPr>
          <w:rFonts w:ascii="Arial" w:hAnsi="Arial" w:cs="Arial"/>
          <w:b/>
          <w:sz w:val="28"/>
          <w:szCs w:val="28"/>
        </w:rPr>
        <w:t>4</w:t>
      </w:r>
      <w:r w:rsidR="00575EAA" w:rsidRPr="00790F9C">
        <w:rPr>
          <w:rFonts w:ascii="Arial" w:hAnsi="Arial" w:cs="Arial"/>
          <w:b/>
          <w:sz w:val="28"/>
          <w:szCs w:val="28"/>
          <w:vertAlign w:val="superscript"/>
        </w:rPr>
        <w:t>rd</w:t>
      </w:r>
      <w:r w:rsidR="00575EAA">
        <w:rPr>
          <w:rFonts w:ascii="Arial" w:hAnsi="Arial" w:cs="Arial"/>
          <w:b/>
          <w:sz w:val="28"/>
          <w:szCs w:val="28"/>
        </w:rPr>
        <w:t xml:space="preserve"> draft</w:t>
      </w:r>
    </w:p>
    <w:p w14:paraId="76680E64" w14:textId="77777777" w:rsidR="00830D3C" w:rsidRPr="00B867F5" w:rsidRDefault="00830D3C" w:rsidP="00B867F5">
      <w:pPr>
        <w:spacing w:after="120"/>
        <w:jc w:val="center"/>
        <w:rPr>
          <w:rFonts w:ascii="Arial" w:hAnsi="Arial" w:cs="Arial"/>
          <w:sz w:val="24"/>
          <w:szCs w:val="24"/>
        </w:rPr>
      </w:pPr>
    </w:p>
    <w:p w14:paraId="10FD098B" w14:textId="77777777" w:rsidR="00830D3C" w:rsidRPr="00213922" w:rsidRDefault="00830D3C" w:rsidP="00B867F5">
      <w:pPr>
        <w:spacing w:after="120"/>
        <w:rPr>
          <w:rFonts w:ascii="Arial" w:hAnsi="Arial" w:cs="Arial"/>
          <w:b/>
          <w:sz w:val="28"/>
          <w:szCs w:val="24"/>
        </w:rPr>
      </w:pPr>
      <w:r w:rsidRPr="00213922">
        <w:rPr>
          <w:rFonts w:ascii="Arial" w:hAnsi="Arial" w:cs="Arial"/>
          <w:b/>
          <w:sz w:val="28"/>
          <w:szCs w:val="24"/>
        </w:rPr>
        <w:t>1. Introduction</w:t>
      </w:r>
      <w:r w:rsidR="00136050" w:rsidRPr="00213922">
        <w:rPr>
          <w:rFonts w:ascii="Arial" w:hAnsi="Arial" w:cs="Arial"/>
          <w:b/>
          <w:sz w:val="28"/>
          <w:szCs w:val="24"/>
        </w:rPr>
        <w:t>: Purpose of the TW</w:t>
      </w:r>
      <w:r w:rsidR="009C77AC" w:rsidRPr="00213922">
        <w:rPr>
          <w:rFonts w:ascii="Arial" w:hAnsi="Arial" w:cs="Arial"/>
          <w:b/>
          <w:sz w:val="28"/>
          <w:szCs w:val="24"/>
        </w:rPr>
        <w:t>G n</w:t>
      </w:r>
      <w:r w:rsidR="00C204B1" w:rsidRPr="00213922">
        <w:rPr>
          <w:rFonts w:ascii="Arial" w:hAnsi="Arial" w:cs="Arial"/>
          <w:b/>
          <w:sz w:val="28"/>
          <w:szCs w:val="24"/>
        </w:rPr>
        <w:t>o. 3</w:t>
      </w:r>
    </w:p>
    <w:p w14:paraId="5663CCAC" w14:textId="0E691BFF" w:rsidR="008D1598" w:rsidRDefault="009C77AC">
      <w:pPr>
        <w:spacing w:after="120"/>
        <w:jc w:val="both"/>
        <w:rPr>
          <w:rFonts w:ascii="Arial" w:hAnsi="Arial" w:cs="Arial"/>
          <w:sz w:val="24"/>
          <w:szCs w:val="24"/>
        </w:rPr>
      </w:pPr>
      <w:r w:rsidRPr="00283A0F">
        <w:rPr>
          <w:rFonts w:ascii="Arial" w:hAnsi="Arial" w:cs="Arial"/>
          <w:sz w:val="24"/>
          <w:szCs w:val="24"/>
        </w:rPr>
        <w:t>The Technical Working Group no. 3 has been convened f</w:t>
      </w:r>
      <w:r w:rsidR="00830D3C" w:rsidRPr="00283A0F">
        <w:rPr>
          <w:rFonts w:ascii="Arial" w:hAnsi="Arial" w:cs="Arial"/>
          <w:sz w:val="24"/>
          <w:szCs w:val="24"/>
        </w:rPr>
        <w:t>ollowing the recommendations of the 2</w:t>
      </w:r>
      <w:r w:rsidR="00830D3C" w:rsidRPr="00283A0F">
        <w:rPr>
          <w:rFonts w:ascii="Arial" w:hAnsi="Arial" w:cs="Arial"/>
          <w:sz w:val="24"/>
          <w:szCs w:val="24"/>
          <w:vertAlign w:val="superscript"/>
        </w:rPr>
        <w:t>nd</w:t>
      </w:r>
      <w:r w:rsidR="00830D3C" w:rsidRPr="00283A0F">
        <w:rPr>
          <w:rFonts w:ascii="Arial" w:hAnsi="Arial" w:cs="Arial"/>
          <w:sz w:val="24"/>
          <w:szCs w:val="24"/>
        </w:rPr>
        <w:t xml:space="preserve"> CBC Regional Consultative Forum</w:t>
      </w:r>
      <w:r w:rsidRPr="00283A0F">
        <w:rPr>
          <w:rFonts w:ascii="Arial" w:hAnsi="Arial" w:cs="Arial"/>
          <w:sz w:val="24"/>
          <w:szCs w:val="24"/>
        </w:rPr>
        <w:t>,</w:t>
      </w:r>
      <w:r w:rsidR="00830D3C" w:rsidRPr="00283A0F">
        <w:rPr>
          <w:rFonts w:ascii="Arial" w:hAnsi="Arial" w:cs="Arial"/>
          <w:sz w:val="24"/>
          <w:szCs w:val="24"/>
        </w:rPr>
        <w:t xml:space="preserve"> held in S</w:t>
      </w:r>
      <w:r w:rsidRPr="00283A0F">
        <w:rPr>
          <w:rFonts w:ascii="Arial" w:hAnsi="Arial" w:cs="Arial"/>
          <w:sz w:val="24"/>
          <w:szCs w:val="24"/>
        </w:rPr>
        <w:t xml:space="preserve">arajevo (BiH) on 11-12/09/2014 and taking into account that the performance framework </w:t>
      </w:r>
      <w:r w:rsidR="00104B1B">
        <w:rPr>
          <w:rFonts w:ascii="Arial" w:hAnsi="Arial" w:cs="Arial"/>
          <w:sz w:val="24"/>
          <w:szCs w:val="24"/>
        </w:rPr>
        <w:t>within</w:t>
      </w:r>
      <w:r w:rsidRPr="00283A0F">
        <w:rPr>
          <w:rFonts w:ascii="Arial" w:hAnsi="Arial" w:cs="Arial"/>
          <w:sz w:val="24"/>
          <w:szCs w:val="24"/>
        </w:rPr>
        <w:t xml:space="preserve"> the 2007-2013</w:t>
      </w:r>
      <w:r w:rsidR="00104B1B">
        <w:rPr>
          <w:rFonts w:ascii="Arial" w:hAnsi="Arial" w:cs="Arial"/>
          <w:sz w:val="24"/>
          <w:szCs w:val="24"/>
        </w:rPr>
        <w:t xml:space="preserve"> financial cycle</w:t>
      </w:r>
      <w:r w:rsidRPr="00283A0F">
        <w:rPr>
          <w:rFonts w:ascii="Arial" w:hAnsi="Arial" w:cs="Arial"/>
          <w:sz w:val="24"/>
          <w:szCs w:val="24"/>
        </w:rPr>
        <w:t xml:space="preserve"> was totally under-developed and that serious concerns remain, as expressed by the independent evaluation of the 2007-2013 CBC programmes.</w:t>
      </w:r>
    </w:p>
    <w:p w14:paraId="4DAFBEA5" w14:textId="7163C446" w:rsidR="008D1598" w:rsidRDefault="00E12D31">
      <w:pPr>
        <w:spacing w:after="120"/>
        <w:jc w:val="both"/>
        <w:rPr>
          <w:rFonts w:ascii="Arial" w:hAnsi="Arial" w:cs="Arial"/>
          <w:sz w:val="24"/>
          <w:szCs w:val="24"/>
        </w:rPr>
      </w:pPr>
      <w:r>
        <w:rPr>
          <w:rFonts w:ascii="Arial" w:hAnsi="Arial" w:cs="Arial"/>
          <w:sz w:val="24"/>
          <w:szCs w:val="24"/>
        </w:rPr>
        <w:t>T</w:t>
      </w:r>
      <w:r w:rsidR="009C77AC" w:rsidRPr="00283A0F">
        <w:rPr>
          <w:rFonts w:ascii="Arial" w:hAnsi="Arial" w:cs="Arial"/>
          <w:sz w:val="24"/>
          <w:szCs w:val="24"/>
        </w:rPr>
        <w:t>here</w:t>
      </w:r>
      <w:r>
        <w:rPr>
          <w:rFonts w:ascii="Arial" w:hAnsi="Arial" w:cs="Arial"/>
          <w:sz w:val="24"/>
          <w:szCs w:val="24"/>
        </w:rPr>
        <w:t xml:space="preserve"> </w:t>
      </w:r>
      <w:r w:rsidR="00104B1B">
        <w:rPr>
          <w:rFonts w:ascii="Arial" w:hAnsi="Arial" w:cs="Arial"/>
          <w:sz w:val="24"/>
          <w:szCs w:val="24"/>
        </w:rPr>
        <w:t xml:space="preserve">is </w:t>
      </w:r>
      <w:r>
        <w:rPr>
          <w:rFonts w:ascii="Arial" w:hAnsi="Arial" w:cs="Arial"/>
          <w:sz w:val="24"/>
          <w:szCs w:val="24"/>
        </w:rPr>
        <w:t>thus</w:t>
      </w:r>
      <w:r w:rsidR="009C77AC" w:rsidRPr="00283A0F">
        <w:rPr>
          <w:rFonts w:ascii="Arial" w:hAnsi="Arial" w:cs="Arial"/>
          <w:sz w:val="24"/>
          <w:szCs w:val="24"/>
        </w:rPr>
        <w:t xml:space="preserve"> a need to improve monitoring, reporting and evaluation to ensure a more systematic assessment of </w:t>
      </w:r>
      <w:r w:rsidR="00104B1B">
        <w:rPr>
          <w:rFonts w:ascii="Arial" w:hAnsi="Arial" w:cs="Arial"/>
          <w:sz w:val="24"/>
          <w:szCs w:val="24"/>
        </w:rPr>
        <w:t xml:space="preserve">the </w:t>
      </w:r>
      <w:r w:rsidR="009C77AC" w:rsidRPr="00283A0F">
        <w:rPr>
          <w:rFonts w:ascii="Arial" w:hAnsi="Arial" w:cs="Arial"/>
          <w:sz w:val="24"/>
          <w:szCs w:val="24"/>
        </w:rPr>
        <w:t xml:space="preserve">CBC programmes under </w:t>
      </w:r>
      <w:r w:rsidR="00104B1B">
        <w:rPr>
          <w:rFonts w:ascii="Arial" w:hAnsi="Arial" w:cs="Arial"/>
          <w:sz w:val="24"/>
          <w:szCs w:val="24"/>
        </w:rPr>
        <w:t xml:space="preserve">the </w:t>
      </w:r>
      <w:r w:rsidR="009C77AC" w:rsidRPr="00283A0F">
        <w:rPr>
          <w:rFonts w:ascii="Arial" w:hAnsi="Arial" w:cs="Arial"/>
          <w:sz w:val="24"/>
          <w:szCs w:val="24"/>
        </w:rPr>
        <w:t xml:space="preserve">2014-2020 financial </w:t>
      </w:r>
      <w:proofErr w:type="gramStart"/>
      <w:r w:rsidR="009C77AC" w:rsidRPr="00283A0F">
        <w:rPr>
          <w:rFonts w:ascii="Arial" w:hAnsi="Arial" w:cs="Arial"/>
          <w:sz w:val="24"/>
          <w:szCs w:val="24"/>
        </w:rPr>
        <w:t>cycle</w:t>
      </w:r>
      <w:proofErr w:type="gramEnd"/>
      <w:r w:rsidR="009C77AC" w:rsidRPr="00283A0F">
        <w:rPr>
          <w:rFonts w:ascii="Arial" w:hAnsi="Arial" w:cs="Arial"/>
          <w:sz w:val="24"/>
          <w:szCs w:val="24"/>
        </w:rPr>
        <w:t xml:space="preserve">. </w:t>
      </w:r>
      <w:r>
        <w:rPr>
          <w:rFonts w:ascii="Arial" w:hAnsi="Arial" w:cs="Arial"/>
          <w:sz w:val="24"/>
          <w:szCs w:val="24"/>
        </w:rPr>
        <w:t xml:space="preserve">This </w:t>
      </w:r>
      <w:r w:rsidRPr="0040607E">
        <w:rPr>
          <w:rFonts w:ascii="Arial" w:hAnsi="Arial" w:cs="Arial"/>
          <w:sz w:val="24"/>
          <w:szCs w:val="24"/>
        </w:rPr>
        <w:t xml:space="preserve">has been emphasised recently by </w:t>
      </w:r>
      <w:r w:rsidR="009C77AC" w:rsidRPr="0040607E">
        <w:rPr>
          <w:rFonts w:ascii="Arial" w:hAnsi="Arial" w:cs="Arial"/>
          <w:sz w:val="24"/>
          <w:szCs w:val="24"/>
        </w:rPr>
        <w:t xml:space="preserve">the European </w:t>
      </w:r>
      <w:r w:rsidR="00DE20F0" w:rsidRPr="00DE20F0">
        <w:rPr>
          <w:rFonts w:ascii="Arial" w:hAnsi="Arial" w:cs="Arial"/>
          <w:sz w:val="24"/>
          <w:szCs w:val="24"/>
        </w:rPr>
        <w:t>Commission</w:t>
      </w:r>
      <w:r w:rsidR="00DE20F0">
        <w:rPr>
          <w:rFonts w:ascii="Arial" w:hAnsi="Arial" w:cs="Arial"/>
          <w:sz w:val="24"/>
          <w:szCs w:val="24"/>
        </w:rPr>
        <w:t xml:space="preserve"> (see note of Director </w:t>
      </w:r>
      <w:r w:rsidR="009C77AC" w:rsidRPr="00283A0F">
        <w:rPr>
          <w:rFonts w:ascii="Arial" w:hAnsi="Arial" w:cs="Arial"/>
          <w:sz w:val="24"/>
          <w:szCs w:val="24"/>
        </w:rPr>
        <w:t xml:space="preserve">Ruiz </w:t>
      </w:r>
      <w:proofErr w:type="spellStart"/>
      <w:r w:rsidR="009C77AC" w:rsidRPr="00283A0F">
        <w:rPr>
          <w:rFonts w:ascii="Arial" w:hAnsi="Arial" w:cs="Arial"/>
          <w:sz w:val="24"/>
          <w:szCs w:val="24"/>
        </w:rPr>
        <w:t>Calavera</w:t>
      </w:r>
      <w:proofErr w:type="spellEnd"/>
      <w:r w:rsidR="009C77AC" w:rsidRPr="00283A0F">
        <w:rPr>
          <w:rFonts w:ascii="Arial" w:hAnsi="Arial" w:cs="Arial"/>
          <w:sz w:val="24"/>
          <w:szCs w:val="24"/>
        </w:rPr>
        <w:t xml:space="preserve"> to Heads of Delegation</w:t>
      </w:r>
      <w:r>
        <w:rPr>
          <w:rFonts w:ascii="Arial" w:hAnsi="Arial" w:cs="Arial"/>
          <w:sz w:val="24"/>
          <w:szCs w:val="24"/>
        </w:rPr>
        <w:t xml:space="preserve"> regarding monitoring tools - </w:t>
      </w:r>
      <w:r w:rsidR="009C77AC" w:rsidRPr="00E12D31">
        <w:rPr>
          <w:rFonts w:ascii="Arial" w:hAnsi="Arial" w:cs="Arial"/>
          <w:b/>
          <w:sz w:val="24"/>
          <w:szCs w:val="24"/>
        </w:rPr>
        <w:t>Annex 1</w:t>
      </w:r>
      <w:r w:rsidR="009C77AC" w:rsidRPr="00283A0F">
        <w:rPr>
          <w:rFonts w:ascii="Arial" w:hAnsi="Arial" w:cs="Arial"/>
          <w:sz w:val="24"/>
          <w:szCs w:val="24"/>
        </w:rPr>
        <w:t xml:space="preserve">). </w:t>
      </w:r>
    </w:p>
    <w:p w14:paraId="6A31A9D0" w14:textId="77777777" w:rsidR="008D1598" w:rsidRDefault="00E12D31">
      <w:pPr>
        <w:spacing w:after="120"/>
        <w:jc w:val="both"/>
        <w:rPr>
          <w:rFonts w:ascii="Arial" w:hAnsi="Arial" w:cs="Arial"/>
          <w:sz w:val="24"/>
          <w:szCs w:val="24"/>
        </w:rPr>
      </w:pPr>
      <w:r w:rsidRPr="00E12D31">
        <w:rPr>
          <w:rFonts w:ascii="Arial" w:hAnsi="Arial" w:cs="Arial"/>
          <w:sz w:val="24"/>
          <w:szCs w:val="24"/>
        </w:rPr>
        <w:t xml:space="preserve">Therefore, </w:t>
      </w:r>
      <w:r w:rsidR="00C204B1" w:rsidRPr="00E12D31">
        <w:rPr>
          <w:rFonts w:ascii="Arial" w:hAnsi="Arial" w:cs="Arial"/>
          <w:sz w:val="24"/>
          <w:szCs w:val="24"/>
        </w:rPr>
        <w:t xml:space="preserve">the participants </w:t>
      </w:r>
      <w:r w:rsidRPr="00E12D31">
        <w:rPr>
          <w:rFonts w:ascii="Arial" w:hAnsi="Arial" w:cs="Arial"/>
          <w:sz w:val="24"/>
          <w:szCs w:val="24"/>
        </w:rPr>
        <w:t xml:space="preserve">of this TWG </w:t>
      </w:r>
      <w:r w:rsidR="00C204B1" w:rsidRPr="00E12D31">
        <w:rPr>
          <w:rFonts w:ascii="Arial" w:hAnsi="Arial" w:cs="Arial"/>
          <w:sz w:val="24"/>
          <w:szCs w:val="24"/>
        </w:rPr>
        <w:t xml:space="preserve">aspire </w:t>
      </w:r>
      <w:r w:rsidR="009C77AC" w:rsidRPr="00E12D31">
        <w:rPr>
          <w:rFonts w:ascii="Arial" w:hAnsi="Arial" w:cs="Arial"/>
          <w:sz w:val="24"/>
          <w:szCs w:val="24"/>
        </w:rPr>
        <w:t xml:space="preserve">to agree upon </w:t>
      </w:r>
      <w:r w:rsidR="00C204B1" w:rsidRPr="00E12D31">
        <w:rPr>
          <w:rFonts w:ascii="Arial" w:hAnsi="Arial" w:cs="Arial"/>
          <w:sz w:val="24"/>
          <w:szCs w:val="24"/>
        </w:rPr>
        <w:t>a strategy for exploiting lessons learnt and synergies</w:t>
      </w:r>
      <w:r w:rsidR="009C77AC" w:rsidRPr="00E12D31">
        <w:rPr>
          <w:rFonts w:ascii="Arial" w:hAnsi="Arial" w:cs="Arial"/>
          <w:sz w:val="24"/>
          <w:szCs w:val="24"/>
        </w:rPr>
        <w:t xml:space="preserve"> and to discuss and put in practice the monitoring tools that belong to the impact assessment methodology prepared by the CBIB+2 project team</w:t>
      </w:r>
      <w:r w:rsidRPr="00E12D31">
        <w:rPr>
          <w:rFonts w:ascii="Arial" w:hAnsi="Arial" w:cs="Arial"/>
          <w:sz w:val="24"/>
          <w:szCs w:val="24"/>
        </w:rPr>
        <w:t xml:space="preserve"> and endorsed by the European Commission.</w:t>
      </w:r>
    </w:p>
    <w:p w14:paraId="0E4C83A8" w14:textId="063CDE40" w:rsidR="008D1598" w:rsidRDefault="009C77AC">
      <w:pPr>
        <w:spacing w:after="120"/>
        <w:jc w:val="both"/>
        <w:rPr>
          <w:rFonts w:ascii="Arial" w:hAnsi="Arial" w:cs="Arial"/>
          <w:sz w:val="24"/>
          <w:szCs w:val="24"/>
        </w:rPr>
      </w:pPr>
      <w:r w:rsidRPr="009C77AC">
        <w:rPr>
          <w:rFonts w:ascii="Arial" w:hAnsi="Arial" w:cs="Arial"/>
          <w:sz w:val="24"/>
          <w:szCs w:val="24"/>
        </w:rPr>
        <w:t xml:space="preserve">This </w:t>
      </w:r>
      <w:r w:rsidR="00104B1B">
        <w:rPr>
          <w:rFonts w:ascii="Arial" w:hAnsi="Arial" w:cs="Arial"/>
          <w:sz w:val="24"/>
          <w:szCs w:val="24"/>
        </w:rPr>
        <w:t>report</w:t>
      </w:r>
      <w:r w:rsidRPr="009C77AC">
        <w:rPr>
          <w:rFonts w:ascii="Arial" w:hAnsi="Arial" w:cs="Arial"/>
          <w:sz w:val="24"/>
          <w:szCs w:val="24"/>
        </w:rPr>
        <w:t xml:space="preserve"> provides background information to the work of the TWG no. 3 and summarises the main actions that have already been instigated on a CBC </w:t>
      </w:r>
      <w:r w:rsidRPr="00E12D31">
        <w:rPr>
          <w:rFonts w:ascii="Arial" w:hAnsi="Arial" w:cs="Arial"/>
          <w:sz w:val="24"/>
          <w:szCs w:val="24"/>
        </w:rPr>
        <w:t xml:space="preserve">performance framework and those that need to be activated </w:t>
      </w:r>
      <w:r w:rsidR="00104B1B">
        <w:rPr>
          <w:rFonts w:ascii="Arial" w:hAnsi="Arial" w:cs="Arial"/>
          <w:sz w:val="24"/>
          <w:szCs w:val="24"/>
        </w:rPr>
        <w:t>until the end of the CBIB+2 period of implementation</w:t>
      </w:r>
      <w:r w:rsidRPr="00E12D31">
        <w:rPr>
          <w:rFonts w:ascii="Arial" w:hAnsi="Arial" w:cs="Arial"/>
          <w:sz w:val="24"/>
          <w:szCs w:val="24"/>
        </w:rPr>
        <w:t>.</w:t>
      </w:r>
    </w:p>
    <w:p w14:paraId="28637782" w14:textId="77777777" w:rsidR="008D1598" w:rsidRDefault="008D1598">
      <w:pPr>
        <w:spacing w:after="120"/>
        <w:jc w:val="both"/>
        <w:rPr>
          <w:rFonts w:ascii="Arial" w:hAnsi="Arial" w:cs="Arial"/>
          <w:sz w:val="24"/>
          <w:szCs w:val="24"/>
        </w:rPr>
      </w:pPr>
    </w:p>
    <w:p w14:paraId="0AEC87E7" w14:textId="77777777" w:rsidR="008D1598" w:rsidRDefault="00C204B1">
      <w:pPr>
        <w:spacing w:after="120"/>
        <w:jc w:val="both"/>
        <w:rPr>
          <w:rFonts w:ascii="Arial" w:hAnsi="Arial" w:cs="Arial"/>
          <w:b/>
          <w:sz w:val="28"/>
          <w:szCs w:val="24"/>
        </w:rPr>
      </w:pPr>
      <w:r w:rsidRPr="00213922">
        <w:rPr>
          <w:rFonts w:ascii="Arial" w:hAnsi="Arial" w:cs="Arial"/>
          <w:b/>
          <w:sz w:val="28"/>
          <w:szCs w:val="24"/>
        </w:rPr>
        <w:t>2. Strategy for exploiting lessons and synergies</w:t>
      </w:r>
    </w:p>
    <w:p w14:paraId="2F265BF2" w14:textId="77777777" w:rsidR="008D1598" w:rsidRDefault="0010214A">
      <w:pPr>
        <w:spacing w:after="120"/>
        <w:jc w:val="both"/>
        <w:rPr>
          <w:rFonts w:ascii="Arial" w:hAnsi="Arial" w:cs="Arial"/>
          <w:sz w:val="24"/>
          <w:szCs w:val="24"/>
          <w:lang w:eastAsia="ar-SA"/>
        </w:rPr>
      </w:pPr>
      <w:r w:rsidRPr="00B867F5">
        <w:rPr>
          <w:rFonts w:ascii="Arial" w:eastAsia="Times New Roman" w:hAnsi="Arial" w:cs="Arial"/>
          <w:color w:val="000000"/>
          <w:sz w:val="24"/>
          <w:szCs w:val="24"/>
          <w:lang w:eastAsia="en-GB"/>
        </w:rPr>
        <w:t xml:space="preserve">CBC experience in the Western Balkans has grown considerably since 2007 and it is necessary and appropriate to fully exploit it. This has been acknowledged from the </w:t>
      </w:r>
      <w:r w:rsidRPr="00B867F5">
        <w:rPr>
          <w:rFonts w:ascii="Arial" w:eastAsia="Times New Roman" w:hAnsi="Arial" w:cs="Arial"/>
          <w:color w:val="000000"/>
          <w:sz w:val="24"/>
          <w:szCs w:val="24"/>
          <w:lang w:eastAsia="en-GB"/>
        </w:rPr>
        <w:lastRenderedPageBreak/>
        <w:t>beginning of the current 2</w:t>
      </w:r>
      <w:r w:rsidRPr="00B867F5">
        <w:rPr>
          <w:rFonts w:ascii="Arial" w:eastAsia="Times New Roman" w:hAnsi="Arial" w:cs="Arial"/>
          <w:color w:val="000000"/>
          <w:sz w:val="24"/>
          <w:szCs w:val="24"/>
          <w:vertAlign w:val="superscript"/>
          <w:lang w:eastAsia="en-GB"/>
        </w:rPr>
        <w:t>nd</w:t>
      </w:r>
      <w:r w:rsidRPr="00B867F5">
        <w:rPr>
          <w:rFonts w:ascii="Arial" w:eastAsia="Times New Roman" w:hAnsi="Arial" w:cs="Arial"/>
          <w:color w:val="000000"/>
          <w:sz w:val="24"/>
          <w:szCs w:val="24"/>
          <w:lang w:eastAsia="en-GB"/>
        </w:rPr>
        <w:t xml:space="preserve"> phase of CBIB+, with the Inception Report placing considerable importance, firstly, on drawing lessons and exploiting them and, secondly, on d</w:t>
      </w:r>
      <w:r w:rsidRPr="00B867F5">
        <w:rPr>
          <w:rFonts w:ascii="Arial" w:hAnsi="Arial" w:cs="Arial"/>
          <w:sz w:val="24"/>
          <w:szCs w:val="24"/>
          <w:lang w:eastAsia="ar-SA"/>
        </w:rPr>
        <w:t>eveloping and implementing a methodology for systematic result/impact measurement for improving the overall quality of the programmes, their impact, effectiveness and visibility.</w:t>
      </w:r>
    </w:p>
    <w:p w14:paraId="6DA22123" w14:textId="77777777" w:rsidR="008D1598" w:rsidRDefault="0010214A">
      <w:pPr>
        <w:spacing w:after="120"/>
        <w:jc w:val="both"/>
        <w:rPr>
          <w:rFonts w:ascii="Arial" w:eastAsia="Times New Roman" w:hAnsi="Arial" w:cs="Arial"/>
          <w:color w:val="000000"/>
          <w:sz w:val="24"/>
          <w:szCs w:val="24"/>
          <w:lang w:eastAsia="en-GB"/>
        </w:rPr>
      </w:pPr>
      <w:r w:rsidRPr="00B867F5">
        <w:rPr>
          <w:rFonts w:ascii="Arial" w:eastAsia="Times New Roman" w:hAnsi="Arial" w:cs="Arial"/>
          <w:color w:val="000000"/>
          <w:sz w:val="24"/>
          <w:szCs w:val="24"/>
          <w:lang w:eastAsia="en-GB"/>
        </w:rPr>
        <w:t>The CBIB+ project team has, therefore, formulated a strategy that offers a broad framework for:</w:t>
      </w:r>
    </w:p>
    <w:p w14:paraId="7FDE2DD4" w14:textId="77777777" w:rsidR="008D1598" w:rsidRDefault="0010214A">
      <w:pPr>
        <w:pStyle w:val="ListParagraph"/>
        <w:numPr>
          <w:ilvl w:val="0"/>
          <w:numId w:val="25"/>
        </w:numPr>
        <w:spacing w:after="120"/>
        <w:jc w:val="both"/>
        <w:rPr>
          <w:rFonts w:ascii="Arial" w:hAnsi="Arial" w:cs="Arial"/>
          <w:color w:val="000000"/>
          <w:sz w:val="24"/>
          <w:szCs w:val="24"/>
          <w:lang w:eastAsia="en-GB"/>
        </w:rPr>
      </w:pPr>
      <w:r w:rsidRPr="00B867F5">
        <w:rPr>
          <w:rFonts w:ascii="Arial" w:hAnsi="Arial" w:cs="Arial"/>
          <w:color w:val="000000"/>
          <w:sz w:val="24"/>
          <w:szCs w:val="24"/>
          <w:lang w:eastAsia="en-GB"/>
        </w:rPr>
        <w:t>obtaining, distilling and disseminating lessons learnt and knowledge gained from different sources; and</w:t>
      </w:r>
    </w:p>
    <w:p w14:paraId="0991106F" w14:textId="77777777" w:rsidR="008D1598" w:rsidRDefault="0010214A">
      <w:pPr>
        <w:pStyle w:val="ListParagraph"/>
        <w:numPr>
          <w:ilvl w:val="0"/>
          <w:numId w:val="25"/>
        </w:numPr>
        <w:spacing w:after="120"/>
        <w:jc w:val="both"/>
        <w:rPr>
          <w:rFonts w:ascii="Arial" w:hAnsi="Arial" w:cs="Arial"/>
          <w:sz w:val="24"/>
        </w:rPr>
      </w:pPr>
      <w:proofErr w:type="gramStart"/>
      <w:r w:rsidRPr="00B867F5">
        <w:rPr>
          <w:rFonts w:ascii="Arial" w:hAnsi="Arial" w:cs="Arial"/>
          <w:color w:val="000000"/>
          <w:sz w:val="24"/>
          <w:szCs w:val="24"/>
          <w:lang w:eastAsia="en-GB"/>
        </w:rPr>
        <w:t>promoting</w:t>
      </w:r>
      <w:proofErr w:type="gramEnd"/>
      <w:r w:rsidRPr="00B867F5">
        <w:rPr>
          <w:rFonts w:ascii="Arial" w:hAnsi="Arial" w:cs="Arial"/>
          <w:color w:val="000000"/>
          <w:sz w:val="24"/>
          <w:szCs w:val="24"/>
          <w:lang w:eastAsia="en-GB"/>
        </w:rPr>
        <w:t xml:space="preserve"> a best practice culture and the sharing of knowledge and experience, with a view to enhancing capacities and technical skills, and generally improving the effectiveness of the CBC programmes in the IPA beneficiary countries. </w:t>
      </w:r>
    </w:p>
    <w:p w14:paraId="1D3033E4" w14:textId="77777777" w:rsidR="008D1598" w:rsidRDefault="00B1331C">
      <w:pPr>
        <w:spacing w:after="120"/>
        <w:jc w:val="both"/>
        <w:rPr>
          <w:rFonts w:ascii="Arial" w:hAnsi="Arial" w:cs="Arial"/>
          <w:sz w:val="24"/>
        </w:rPr>
      </w:pPr>
      <w:r w:rsidRPr="00B867F5">
        <w:rPr>
          <w:rFonts w:ascii="Arial" w:hAnsi="Arial" w:cs="Arial"/>
          <w:sz w:val="24"/>
        </w:rPr>
        <w:t>The general concept of the strategy is illustrated in the following figure:</w:t>
      </w:r>
    </w:p>
    <w:p w14:paraId="5D4362D4" w14:textId="77777777" w:rsidR="008D1598" w:rsidRDefault="00B1331C">
      <w:pPr>
        <w:spacing w:after="120"/>
        <w:jc w:val="both"/>
        <w:rPr>
          <w:rFonts w:ascii="Arial" w:hAnsi="Arial" w:cs="Arial"/>
          <w:b/>
        </w:rPr>
      </w:pPr>
      <w:r w:rsidRPr="00B867F5">
        <w:rPr>
          <w:rFonts w:ascii="Arial" w:hAnsi="Arial" w:cs="Arial"/>
          <w:b/>
        </w:rPr>
        <w:t>Figure 1: A strategy for exploiting lessons learnt and synergies – Concept</w:t>
      </w:r>
    </w:p>
    <w:p w14:paraId="7D335746" w14:textId="77777777" w:rsidR="008D1598" w:rsidRDefault="00B1331C">
      <w:pPr>
        <w:spacing w:after="120"/>
        <w:jc w:val="both"/>
        <w:rPr>
          <w:rFonts w:ascii="Arial" w:hAnsi="Arial" w:cs="Arial"/>
        </w:rPr>
      </w:pPr>
      <w:r w:rsidRPr="00B867F5">
        <w:rPr>
          <w:rFonts w:ascii="Arial" w:hAnsi="Arial" w:cs="Arial"/>
        </w:rPr>
        <w:t xml:space="preserve"> </w:t>
      </w:r>
      <w:r w:rsidRPr="00B867F5">
        <w:rPr>
          <w:noProof/>
        </w:rPr>
        <w:drawing>
          <wp:inline distT="0" distB="0" distL="0" distR="0" wp14:anchorId="3BA018A3" wp14:editId="07DDF850">
            <wp:extent cx="5848350" cy="481366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2587" cy="4817152"/>
                    </a:xfrm>
                    <a:prstGeom prst="rect">
                      <a:avLst/>
                    </a:prstGeom>
                    <a:noFill/>
                    <a:ln>
                      <a:noFill/>
                    </a:ln>
                  </pic:spPr>
                </pic:pic>
              </a:graphicData>
            </a:graphic>
          </wp:inline>
        </w:drawing>
      </w:r>
    </w:p>
    <w:p w14:paraId="35A806BA" w14:textId="77777777" w:rsidR="008D1598" w:rsidRDefault="008D1598">
      <w:pPr>
        <w:spacing w:after="120"/>
        <w:jc w:val="both"/>
        <w:rPr>
          <w:rFonts w:ascii="Arial" w:hAnsi="Arial" w:cs="Arial"/>
          <w:sz w:val="24"/>
          <w:szCs w:val="24"/>
        </w:rPr>
      </w:pPr>
    </w:p>
    <w:p w14:paraId="0A16CF70" w14:textId="77777777" w:rsidR="008D1598" w:rsidRDefault="00B1331C">
      <w:pPr>
        <w:spacing w:after="120"/>
        <w:jc w:val="both"/>
        <w:rPr>
          <w:rFonts w:ascii="Arial" w:hAnsi="Arial" w:cs="Arial"/>
          <w:sz w:val="24"/>
          <w:szCs w:val="24"/>
        </w:rPr>
      </w:pPr>
      <w:r w:rsidRPr="00B867F5">
        <w:rPr>
          <w:rFonts w:ascii="Arial" w:hAnsi="Arial" w:cs="Arial"/>
          <w:sz w:val="24"/>
        </w:rPr>
        <w:t>T</w:t>
      </w:r>
      <w:r w:rsidR="00283A0F">
        <w:rPr>
          <w:rFonts w:ascii="Arial" w:hAnsi="Arial" w:cs="Arial"/>
          <w:sz w:val="24"/>
        </w:rPr>
        <w:t>his strategy i</w:t>
      </w:r>
      <w:r w:rsidRPr="00B867F5">
        <w:rPr>
          <w:rFonts w:ascii="Arial" w:hAnsi="Arial" w:cs="Arial"/>
          <w:sz w:val="24"/>
        </w:rPr>
        <w:t>s a “live” document which is updated on a regular basis, incorporating any knowledge and experience gained through the implementation of the CBIB+ activities but also the ones gained and shared with the O</w:t>
      </w:r>
      <w:r w:rsidR="00283A0F">
        <w:rPr>
          <w:rFonts w:ascii="Arial" w:hAnsi="Arial" w:cs="Arial"/>
          <w:sz w:val="24"/>
        </w:rPr>
        <w:t>Ss</w:t>
      </w:r>
      <w:r w:rsidRPr="00B867F5">
        <w:rPr>
          <w:rFonts w:ascii="Arial" w:hAnsi="Arial" w:cs="Arial"/>
          <w:sz w:val="24"/>
        </w:rPr>
        <w:t xml:space="preserve">, JTSs and other </w:t>
      </w:r>
      <w:r w:rsidRPr="0040607E">
        <w:rPr>
          <w:rFonts w:ascii="Arial" w:hAnsi="Arial" w:cs="Arial"/>
          <w:sz w:val="24"/>
        </w:rPr>
        <w:t>stakeholders in the region.</w:t>
      </w:r>
      <w:r w:rsidR="000B69AA" w:rsidRPr="0040607E">
        <w:rPr>
          <w:rFonts w:ascii="Arial" w:hAnsi="Arial" w:cs="Arial"/>
          <w:sz w:val="24"/>
        </w:rPr>
        <w:t xml:space="preserve"> </w:t>
      </w:r>
      <w:r w:rsidR="00DE20F0" w:rsidRPr="00DE20F0">
        <w:rPr>
          <w:rFonts w:ascii="Arial" w:hAnsi="Arial" w:cs="Arial"/>
          <w:sz w:val="24"/>
          <w:szCs w:val="24"/>
        </w:rPr>
        <w:t xml:space="preserve">The latest version of the strategy is in </w:t>
      </w:r>
      <w:r w:rsidR="00DE20F0" w:rsidRPr="00DE20F0">
        <w:rPr>
          <w:rFonts w:ascii="Arial" w:hAnsi="Arial" w:cs="Arial"/>
          <w:b/>
          <w:sz w:val="24"/>
          <w:szCs w:val="24"/>
        </w:rPr>
        <w:t>Annex 2.</w:t>
      </w:r>
      <w:r w:rsidR="00DE20F0" w:rsidRPr="00DE20F0">
        <w:rPr>
          <w:rFonts w:ascii="Arial" w:hAnsi="Arial" w:cs="Arial"/>
          <w:sz w:val="24"/>
          <w:szCs w:val="24"/>
        </w:rPr>
        <w:t xml:space="preserve"> </w:t>
      </w:r>
    </w:p>
    <w:p w14:paraId="2820A234" w14:textId="77777777" w:rsidR="008D1598" w:rsidRDefault="008D1598">
      <w:pPr>
        <w:spacing w:after="120"/>
        <w:jc w:val="both"/>
        <w:rPr>
          <w:rFonts w:ascii="Arial" w:hAnsi="Arial" w:cs="Arial"/>
          <w:sz w:val="24"/>
          <w:szCs w:val="24"/>
        </w:rPr>
      </w:pPr>
    </w:p>
    <w:p w14:paraId="06FB664F" w14:textId="77777777" w:rsidR="008D1598" w:rsidRDefault="00830D3C">
      <w:pPr>
        <w:spacing w:after="120"/>
        <w:jc w:val="both"/>
        <w:rPr>
          <w:rFonts w:ascii="Arial" w:hAnsi="Arial" w:cs="Arial"/>
          <w:b/>
          <w:sz w:val="28"/>
          <w:szCs w:val="24"/>
        </w:rPr>
      </w:pPr>
      <w:r w:rsidRPr="00213922">
        <w:rPr>
          <w:rFonts w:ascii="Arial" w:hAnsi="Arial" w:cs="Arial"/>
          <w:b/>
          <w:sz w:val="28"/>
          <w:szCs w:val="24"/>
        </w:rPr>
        <w:t xml:space="preserve">3. </w:t>
      </w:r>
      <w:r w:rsidR="00213C1E" w:rsidRPr="00213922">
        <w:rPr>
          <w:rFonts w:ascii="Arial" w:hAnsi="Arial" w:cs="Arial"/>
          <w:b/>
          <w:sz w:val="28"/>
          <w:szCs w:val="24"/>
        </w:rPr>
        <w:t>Lessons learnt to date and follow on action</w:t>
      </w:r>
    </w:p>
    <w:p w14:paraId="759087C3" w14:textId="77777777" w:rsidR="008D1598" w:rsidRDefault="00B867F5">
      <w:pPr>
        <w:spacing w:after="120"/>
        <w:jc w:val="both"/>
        <w:rPr>
          <w:rFonts w:ascii="Arial" w:hAnsi="Arial" w:cs="Arial"/>
          <w:b/>
          <w:i/>
          <w:sz w:val="24"/>
          <w:szCs w:val="24"/>
        </w:rPr>
      </w:pPr>
      <w:r w:rsidRPr="00B867F5">
        <w:rPr>
          <w:rFonts w:ascii="Arial" w:hAnsi="Arial" w:cs="Arial"/>
          <w:b/>
          <w:i/>
          <w:sz w:val="24"/>
          <w:szCs w:val="24"/>
          <w:lang w:eastAsia="ar-SA"/>
        </w:rPr>
        <w:t>Evaluation of the 2007-2013 IPA CBC programmes</w:t>
      </w:r>
    </w:p>
    <w:p w14:paraId="44B54458" w14:textId="77777777" w:rsidR="008D1598" w:rsidRDefault="00A86342">
      <w:pPr>
        <w:spacing w:after="120"/>
        <w:jc w:val="both"/>
        <w:rPr>
          <w:rFonts w:ascii="Arial" w:hAnsi="Arial" w:cs="Arial"/>
          <w:sz w:val="24"/>
          <w:szCs w:val="24"/>
          <w:lang w:eastAsia="ar-SA"/>
        </w:rPr>
      </w:pPr>
      <w:r w:rsidRPr="00B867F5">
        <w:rPr>
          <w:rFonts w:ascii="Arial" w:hAnsi="Arial" w:cs="Arial"/>
          <w:sz w:val="24"/>
          <w:szCs w:val="24"/>
        </w:rPr>
        <w:t xml:space="preserve">The inception report of CBIB+2 took into account the planned independent </w:t>
      </w:r>
      <w:r w:rsidRPr="00B867F5">
        <w:rPr>
          <w:rFonts w:ascii="Arial" w:hAnsi="Arial" w:cs="Arial"/>
          <w:sz w:val="24"/>
          <w:szCs w:val="24"/>
          <w:lang w:eastAsia="ar-SA"/>
        </w:rPr>
        <w:t xml:space="preserve">evaluation of the 2007-2013 IPA CBC programmes and assumed that the CBIB+2 will analyse and review in detail the relevant findings, conclusions and recommendations of this exercise in order to use them in setting up a result/impact measurement system and for drawing lessons of relevance to IPA II CBC programmes and proposing improvements. </w:t>
      </w:r>
    </w:p>
    <w:p w14:paraId="790BAB39" w14:textId="77777777" w:rsidR="008D1598" w:rsidRDefault="00A86342">
      <w:pPr>
        <w:spacing w:after="120"/>
        <w:jc w:val="both"/>
        <w:rPr>
          <w:rFonts w:ascii="Arial" w:eastAsia="Calibri" w:hAnsi="Arial" w:cs="Arial"/>
          <w:sz w:val="24"/>
          <w:szCs w:val="24"/>
        </w:rPr>
      </w:pPr>
      <w:r w:rsidRPr="00B867F5">
        <w:rPr>
          <w:rFonts w:ascii="Arial" w:hAnsi="Arial" w:cs="Arial"/>
          <w:sz w:val="24"/>
          <w:szCs w:val="24"/>
        </w:rPr>
        <w:t xml:space="preserve">This evaluation was concluded in February 2017. </w:t>
      </w:r>
      <w:r w:rsidR="00B867F5" w:rsidRPr="00B867F5">
        <w:rPr>
          <w:rFonts w:ascii="Arial" w:hAnsi="Arial" w:cs="Arial"/>
          <w:sz w:val="24"/>
          <w:szCs w:val="24"/>
        </w:rPr>
        <w:t>I</w:t>
      </w:r>
      <w:r w:rsidR="00136050" w:rsidRPr="00B867F5">
        <w:rPr>
          <w:rFonts w:ascii="Arial" w:hAnsi="Arial" w:cs="Arial"/>
          <w:sz w:val="24"/>
          <w:szCs w:val="24"/>
        </w:rPr>
        <w:t xml:space="preserve">ts findings </w:t>
      </w:r>
      <w:r w:rsidR="00B867F5" w:rsidRPr="00B867F5">
        <w:rPr>
          <w:rFonts w:ascii="Arial" w:hAnsi="Arial" w:cs="Arial"/>
          <w:sz w:val="24"/>
          <w:szCs w:val="24"/>
        </w:rPr>
        <w:t>on the p</w:t>
      </w:r>
      <w:r w:rsidR="00136050" w:rsidRPr="00B867F5">
        <w:rPr>
          <w:rFonts w:ascii="Arial" w:eastAsia="Calibri" w:hAnsi="Arial" w:cs="Arial"/>
          <w:bCs/>
          <w:sz w:val="24"/>
          <w:szCs w:val="24"/>
        </w:rPr>
        <w:t xml:space="preserve">erformance assessment of </w:t>
      </w:r>
      <w:r w:rsidR="00B867F5" w:rsidRPr="00B867F5">
        <w:rPr>
          <w:rFonts w:ascii="Arial" w:eastAsia="Calibri" w:hAnsi="Arial" w:cs="Arial"/>
          <w:bCs/>
          <w:sz w:val="24"/>
          <w:szCs w:val="24"/>
        </w:rPr>
        <w:t xml:space="preserve">the </w:t>
      </w:r>
      <w:r w:rsidR="00136050" w:rsidRPr="00B867F5">
        <w:rPr>
          <w:rFonts w:ascii="Arial" w:eastAsia="Calibri" w:hAnsi="Arial" w:cs="Arial"/>
          <w:bCs/>
          <w:sz w:val="24"/>
          <w:szCs w:val="24"/>
        </w:rPr>
        <w:t>CBC programmes 2007-2013</w:t>
      </w:r>
      <w:r w:rsidR="00B867F5" w:rsidRPr="00B867F5">
        <w:rPr>
          <w:rFonts w:ascii="Arial" w:eastAsia="Calibri" w:hAnsi="Arial" w:cs="Arial"/>
          <w:bCs/>
          <w:sz w:val="24"/>
          <w:szCs w:val="24"/>
        </w:rPr>
        <w:t xml:space="preserve"> stressed the s</w:t>
      </w:r>
      <w:r w:rsidR="00136050" w:rsidRPr="00B867F5">
        <w:rPr>
          <w:rFonts w:ascii="Arial" w:hAnsi="Arial" w:cs="Arial"/>
          <w:sz w:val="24"/>
          <w:szCs w:val="24"/>
        </w:rPr>
        <w:t>erious lack of systematic data</w:t>
      </w:r>
      <w:r w:rsidR="00B867F5" w:rsidRPr="00B867F5">
        <w:rPr>
          <w:rFonts w:ascii="Arial" w:hAnsi="Arial" w:cs="Arial"/>
          <w:sz w:val="24"/>
          <w:szCs w:val="24"/>
        </w:rPr>
        <w:t xml:space="preserve"> and the final report stated that “i</w:t>
      </w:r>
      <w:r w:rsidR="00136050" w:rsidRPr="00B867F5">
        <w:rPr>
          <w:rFonts w:ascii="Arial" w:eastAsia="Calibri" w:hAnsi="Arial" w:cs="Arial"/>
          <w:sz w:val="24"/>
          <w:szCs w:val="24"/>
        </w:rPr>
        <w:t>n the absence of an effective monitoring &amp; reporting system, and given the lack of programme</w:t>
      </w:r>
      <w:r w:rsidR="00136050" w:rsidRPr="00B867F5">
        <w:rPr>
          <w:rFonts w:ascii="Arial" w:eastAsia="Calibri" w:hAnsi="Arial" w:cs="Arial"/>
          <w:bCs/>
          <w:sz w:val="24"/>
          <w:szCs w:val="24"/>
        </w:rPr>
        <w:t xml:space="preserve"> </w:t>
      </w:r>
      <w:r w:rsidR="00136050" w:rsidRPr="00B867F5">
        <w:rPr>
          <w:rFonts w:ascii="Arial" w:eastAsia="Calibri" w:hAnsi="Arial" w:cs="Arial"/>
          <w:sz w:val="24"/>
          <w:szCs w:val="24"/>
        </w:rPr>
        <w:t>evaluations, it is not possible to measure outcomes and rigorously assess whether objectives were met</w:t>
      </w:r>
      <w:r w:rsidR="00B867F5" w:rsidRPr="00B867F5">
        <w:rPr>
          <w:rFonts w:ascii="Arial" w:eastAsia="Calibri" w:hAnsi="Arial" w:cs="Arial"/>
          <w:sz w:val="24"/>
          <w:szCs w:val="24"/>
        </w:rPr>
        <w:t>”</w:t>
      </w:r>
      <w:r w:rsidR="00136050" w:rsidRPr="00B867F5">
        <w:rPr>
          <w:rFonts w:ascii="Arial" w:eastAsia="Calibri" w:hAnsi="Arial" w:cs="Arial"/>
          <w:sz w:val="24"/>
          <w:szCs w:val="24"/>
        </w:rPr>
        <w:t>.</w:t>
      </w:r>
    </w:p>
    <w:p w14:paraId="4FB49FF1" w14:textId="77777777" w:rsidR="008D1598" w:rsidRDefault="00B867F5">
      <w:pPr>
        <w:spacing w:after="120"/>
        <w:jc w:val="both"/>
        <w:rPr>
          <w:rFonts w:ascii="Arial" w:eastAsia="Calibri" w:hAnsi="Arial" w:cs="Arial"/>
          <w:sz w:val="24"/>
          <w:szCs w:val="24"/>
        </w:rPr>
      </w:pPr>
      <w:r w:rsidRPr="00B867F5">
        <w:rPr>
          <w:rFonts w:ascii="Arial" w:eastAsia="Calibri" w:hAnsi="Arial" w:cs="Arial"/>
          <w:bCs/>
          <w:sz w:val="24"/>
          <w:szCs w:val="24"/>
        </w:rPr>
        <w:t>In its a</w:t>
      </w:r>
      <w:r w:rsidR="00136050" w:rsidRPr="00B867F5">
        <w:rPr>
          <w:rFonts w:ascii="Arial" w:eastAsia="Calibri" w:hAnsi="Arial" w:cs="Arial"/>
          <w:bCs/>
          <w:sz w:val="24"/>
          <w:szCs w:val="24"/>
        </w:rPr>
        <w:t xml:space="preserve">ssessment of </w:t>
      </w:r>
      <w:r w:rsidRPr="00B867F5">
        <w:rPr>
          <w:rFonts w:ascii="Arial" w:eastAsia="Calibri" w:hAnsi="Arial" w:cs="Arial"/>
          <w:bCs/>
          <w:sz w:val="24"/>
          <w:szCs w:val="24"/>
        </w:rPr>
        <w:t xml:space="preserve">the </w:t>
      </w:r>
      <w:r w:rsidR="00136050" w:rsidRPr="00B867F5">
        <w:rPr>
          <w:rFonts w:ascii="Arial" w:eastAsia="Calibri" w:hAnsi="Arial" w:cs="Arial"/>
          <w:bCs/>
          <w:sz w:val="24"/>
          <w:szCs w:val="24"/>
        </w:rPr>
        <w:t xml:space="preserve">quality of </w:t>
      </w:r>
      <w:r w:rsidRPr="00B867F5">
        <w:rPr>
          <w:rFonts w:ascii="Arial" w:eastAsia="Calibri" w:hAnsi="Arial" w:cs="Arial"/>
          <w:bCs/>
          <w:sz w:val="24"/>
          <w:szCs w:val="24"/>
        </w:rPr>
        <w:t xml:space="preserve">the </w:t>
      </w:r>
      <w:r w:rsidR="00136050" w:rsidRPr="00B867F5">
        <w:rPr>
          <w:rFonts w:ascii="Arial" w:eastAsia="Calibri" w:hAnsi="Arial" w:cs="Arial"/>
          <w:bCs/>
          <w:sz w:val="24"/>
          <w:szCs w:val="24"/>
        </w:rPr>
        <w:t>design of CBC 2014-2020</w:t>
      </w:r>
      <w:r w:rsidRPr="00B867F5">
        <w:rPr>
          <w:rFonts w:ascii="Arial" w:eastAsia="Calibri" w:hAnsi="Arial" w:cs="Arial"/>
          <w:bCs/>
          <w:sz w:val="24"/>
          <w:szCs w:val="24"/>
        </w:rPr>
        <w:t xml:space="preserve"> it was particularly critical of the p</w:t>
      </w:r>
      <w:r w:rsidR="00136050" w:rsidRPr="00B867F5">
        <w:rPr>
          <w:rFonts w:ascii="Arial" w:eastAsia="Calibri" w:hAnsi="Arial" w:cs="Arial"/>
          <w:bCs/>
          <w:sz w:val="24"/>
          <w:szCs w:val="24"/>
        </w:rPr>
        <w:t>erformance framework</w:t>
      </w:r>
      <w:r w:rsidR="00136050" w:rsidRPr="00B867F5">
        <w:rPr>
          <w:rFonts w:ascii="Arial" w:eastAsia="Calibri" w:hAnsi="Arial" w:cs="Arial"/>
          <w:sz w:val="24"/>
          <w:szCs w:val="24"/>
        </w:rPr>
        <w:t xml:space="preserve">: </w:t>
      </w:r>
      <w:r w:rsidRPr="00B867F5">
        <w:rPr>
          <w:rFonts w:ascii="Arial" w:eastAsia="Calibri" w:hAnsi="Arial" w:cs="Arial"/>
          <w:sz w:val="24"/>
          <w:szCs w:val="24"/>
        </w:rPr>
        <w:t>“</w:t>
      </w:r>
      <w:r w:rsidR="00136050" w:rsidRPr="00B867F5">
        <w:rPr>
          <w:rFonts w:ascii="Arial" w:eastAsia="Calibri" w:hAnsi="Arial" w:cs="Arial"/>
          <w:sz w:val="24"/>
          <w:szCs w:val="24"/>
        </w:rPr>
        <w:t>The hierarchy of objectives and measures was not well elaborated in programming</w:t>
      </w:r>
      <w:r w:rsidR="00136050" w:rsidRPr="00B867F5">
        <w:rPr>
          <w:rFonts w:ascii="Arial" w:eastAsia="Calibri" w:hAnsi="Arial" w:cs="Arial"/>
          <w:b/>
          <w:bCs/>
          <w:sz w:val="24"/>
          <w:szCs w:val="24"/>
        </w:rPr>
        <w:t xml:space="preserve"> </w:t>
      </w:r>
      <w:r w:rsidR="00136050" w:rsidRPr="00B867F5">
        <w:rPr>
          <w:rFonts w:ascii="Arial" w:eastAsia="Calibri" w:hAnsi="Arial" w:cs="Arial"/>
          <w:sz w:val="24"/>
          <w:szCs w:val="24"/>
        </w:rPr>
        <w:t>(objectives are the sum of the measures, rather than measures being the means through which objectives will be achieved). The objectives are often wide-ranging and associated indicators are not sufficiently specific, measurable or realistic. These shortcomings can be addressed by developing an overarching framework which relates objectives, measures &amp; activities to a hierarchy of output/result, outcome &amp; impact indicators</w:t>
      </w:r>
      <w:r w:rsidRPr="00B867F5">
        <w:rPr>
          <w:rFonts w:ascii="Arial" w:eastAsia="Calibri" w:hAnsi="Arial" w:cs="Arial"/>
          <w:sz w:val="24"/>
          <w:szCs w:val="24"/>
        </w:rPr>
        <w:t>”</w:t>
      </w:r>
      <w:r w:rsidR="00136050" w:rsidRPr="00B867F5">
        <w:rPr>
          <w:rFonts w:ascii="Arial" w:eastAsia="Calibri" w:hAnsi="Arial" w:cs="Arial"/>
          <w:sz w:val="24"/>
          <w:szCs w:val="24"/>
        </w:rPr>
        <w:t>.</w:t>
      </w:r>
    </w:p>
    <w:p w14:paraId="5F68D2AA" w14:textId="77777777" w:rsidR="008D1598" w:rsidRDefault="00136050">
      <w:pPr>
        <w:spacing w:after="120"/>
        <w:jc w:val="both"/>
        <w:rPr>
          <w:rFonts w:ascii="Arial" w:hAnsi="Arial" w:cs="Arial"/>
          <w:sz w:val="24"/>
          <w:szCs w:val="24"/>
        </w:rPr>
      </w:pPr>
      <w:r w:rsidRPr="00B867F5">
        <w:rPr>
          <w:rFonts w:ascii="Arial" w:hAnsi="Arial" w:cs="Arial"/>
          <w:sz w:val="24"/>
          <w:szCs w:val="24"/>
        </w:rPr>
        <w:t>The final report inclu</w:t>
      </w:r>
      <w:r w:rsidR="00B867F5" w:rsidRPr="00B867F5">
        <w:rPr>
          <w:rFonts w:ascii="Arial" w:hAnsi="Arial" w:cs="Arial"/>
          <w:sz w:val="24"/>
          <w:szCs w:val="24"/>
        </w:rPr>
        <w:t>des</w:t>
      </w:r>
      <w:r w:rsidRPr="00B867F5">
        <w:rPr>
          <w:rFonts w:ascii="Arial" w:hAnsi="Arial" w:cs="Arial"/>
          <w:sz w:val="24"/>
          <w:szCs w:val="24"/>
        </w:rPr>
        <w:t xml:space="preserve"> 40 recommendations covering general aspects, such as that </w:t>
      </w:r>
      <w:r w:rsidRPr="00B867F5">
        <w:rPr>
          <w:rFonts w:ascii="Arial" w:eastAsia="Calibri" w:hAnsi="Arial" w:cs="Arial"/>
          <w:sz w:val="24"/>
          <w:szCs w:val="24"/>
        </w:rPr>
        <w:t xml:space="preserve">CBC in 2021-2027 (‘IPA III’) should </w:t>
      </w:r>
      <w:r w:rsidRPr="00B867F5">
        <w:rPr>
          <w:rFonts w:ascii="Arial" w:eastAsia="Calibri" w:hAnsi="Arial" w:cs="Arial"/>
          <w:bCs/>
          <w:sz w:val="24"/>
          <w:szCs w:val="24"/>
        </w:rPr>
        <w:t>continue</w:t>
      </w:r>
      <w:r w:rsidRPr="00B867F5">
        <w:rPr>
          <w:rFonts w:ascii="Arial" w:eastAsia="Calibri" w:hAnsi="Arial" w:cs="Arial"/>
          <w:sz w:val="24"/>
          <w:szCs w:val="24"/>
        </w:rPr>
        <w:t xml:space="preserve"> as a distinct element of pre-accession assistance, and more specific matters regarding </w:t>
      </w:r>
      <w:r w:rsidRPr="00B867F5">
        <w:rPr>
          <w:rFonts w:ascii="Arial" w:hAnsi="Arial" w:cs="Arial"/>
          <w:sz w:val="24"/>
          <w:szCs w:val="24"/>
        </w:rPr>
        <w:t xml:space="preserve">programme management, technical assistance and performance framework. On the last point it </w:t>
      </w:r>
      <w:r w:rsidR="00B867F5" w:rsidRPr="00B867F5">
        <w:rPr>
          <w:rFonts w:ascii="Arial" w:hAnsi="Arial" w:cs="Arial"/>
          <w:sz w:val="24"/>
          <w:szCs w:val="24"/>
        </w:rPr>
        <w:t>strongly recommends</w:t>
      </w:r>
      <w:r w:rsidRPr="00B867F5">
        <w:rPr>
          <w:rFonts w:ascii="Arial" w:hAnsi="Arial" w:cs="Arial"/>
          <w:sz w:val="24"/>
          <w:szCs w:val="24"/>
        </w:rPr>
        <w:t xml:space="preserve"> that </w:t>
      </w:r>
      <w:r w:rsidRPr="00B867F5">
        <w:rPr>
          <w:rFonts w:ascii="Arial" w:eastAsia="Calibri" w:hAnsi="Arial" w:cs="Arial"/>
          <w:sz w:val="24"/>
          <w:szCs w:val="24"/>
        </w:rPr>
        <w:t>all contracting authorities and operating structures should instigate a</w:t>
      </w:r>
      <w:r w:rsidRPr="00B867F5">
        <w:rPr>
          <w:rFonts w:ascii="Arial" w:eastAsia="Calibri" w:hAnsi="Arial" w:cs="Arial"/>
          <w:bCs/>
          <w:sz w:val="24"/>
          <w:szCs w:val="24"/>
        </w:rPr>
        <w:t xml:space="preserve"> CBC</w:t>
      </w:r>
      <w:r w:rsidRPr="00B867F5">
        <w:rPr>
          <w:rFonts w:ascii="Arial" w:eastAsia="Calibri" w:hAnsi="Arial" w:cs="Arial"/>
          <w:sz w:val="24"/>
          <w:szCs w:val="24"/>
        </w:rPr>
        <w:t xml:space="preserve"> </w:t>
      </w:r>
      <w:r w:rsidRPr="00B867F5">
        <w:rPr>
          <w:rFonts w:ascii="Arial" w:eastAsia="Calibri" w:hAnsi="Arial" w:cs="Arial"/>
          <w:bCs/>
          <w:sz w:val="24"/>
          <w:szCs w:val="24"/>
        </w:rPr>
        <w:t>performance system</w:t>
      </w:r>
      <w:r w:rsidRPr="00B867F5">
        <w:rPr>
          <w:rFonts w:ascii="Arial" w:eastAsia="Calibri" w:hAnsi="Arial" w:cs="Arial"/>
          <w:sz w:val="24"/>
          <w:szCs w:val="24"/>
        </w:rPr>
        <w:t xml:space="preserve"> and, finally, that “all the main actors (DG NEAR, CBIB+, EUDs and OSs) should develop a </w:t>
      </w:r>
      <w:r w:rsidRPr="00B867F5">
        <w:rPr>
          <w:rFonts w:ascii="Arial" w:eastAsia="Calibri" w:hAnsi="Arial" w:cs="Arial"/>
          <w:bCs/>
          <w:sz w:val="24"/>
          <w:szCs w:val="24"/>
        </w:rPr>
        <w:t>performance culture</w:t>
      </w:r>
      <w:r w:rsidRPr="00B867F5">
        <w:rPr>
          <w:rFonts w:ascii="Arial" w:eastAsia="Calibri" w:hAnsi="Arial" w:cs="Arial"/>
          <w:sz w:val="24"/>
          <w:szCs w:val="24"/>
        </w:rPr>
        <w:t xml:space="preserve">, focused on learning from experience, </w:t>
      </w:r>
      <w:proofErr w:type="spellStart"/>
      <w:r w:rsidRPr="00B867F5">
        <w:rPr>
          <w:rFonts w:ascii="Arial" w:eastAsia="Calibri" w:hAnsi="Arial" w:cs="Arial"/>
          <w:sz w:val="24"/>
          <w:szCs w:val="24"/>
        </w:rPr>
        <w:t>capitalising</w:t>
      </w:r>
      <w:proofErr w:type="spellEnd"/>
      <w:r w:rsidRPr="00B867F5">
        <w:rPr>
          <w:rFonts w:ascii="Arial" w:eastAsia="Calibri" w:hAnsi="Arial" w:cs="Arial"/>
          <w:sz w:val="24"/>
          <w:szCs w:val="24"/>
        </w:rPr>
        <w:t xml:space="preserve"> on results, and </w:t>
      </w:r>
      <w:proofErr w:type="spellStart"/>
      <w:r w:rsidRPr="00B867F5">
        <w:rPr>
          <w:rFonts w:ascii="Arial" w:eastAsia="Calibri" w:hAnsi="Arial" w:cs="Arial"/>
          <w:sz w:val="24"/>
          <w:szCs w:val="24"/>
        </w:rPr>
        <w:t>utilising</w:t>
      </w:r>
      <w:proofErr w:type="spellEnd"/>
      <w:r w:rsidRPr="00B867F5">
        <w:rPr>
          <w:rFonts w:ascii="Arial" w:eastAsia="Calibri" w:hAnsi="Arial" w:cs="Arial"/>
          <w:sz w:val="24"/>
          <w:szCs w:val="24"/>
        </w:rPr>
        <w:t xml:space="preserve"> monitoring &amp; evaluation findings to target resources on priority communities &amp; needs within border areas”.</w:t>
      </w:r>
    </w:p>
    <w:p w14:paraId="5366B619" w14:textId="77777777" w:rsidR="008D1598" w:rsidRDefault="00136050">
      <w:pPr>
        <w:spacing w:after="120"/>
        <w:jc w:val="both"/>
        <w:rPr>
          <w:rFonts w:ascii="Arial" w:hAnsi="Arial" w:cs="Arial"/>
          <w:sz w:val="24"/>
          <w:szCs w:val="24"/>
        </w:rPr>
      </w:pPr>
      <w:r w:rsidRPr="00B867F5">
        <w:rPr>
          <w:rFonts w:ascii="Arial" w:hAnsi="Arial" w:cs="Arial"/>
          <w:sz w:val="24"/>
          <w:szCs w:val="24"/>
        </w:rPr>
        <w:t xml:space="preserve">The executive summary of the final report of this evaluation is in </w:t>
      </w:r>
      <w:r w:rsidRPr="00B867F5">
        <w:rPr>
          <w:rFonts w:ascii="Arial" w:hAnsi="Arial" w:cs="Arial"/>
          <w:b/>
          <w:sz w:val="24"/>
          <w:szCs w:val="24"/>
        </w:rPr>
        <w:t xml:space="preserve">Annex </w:t>
      </w:r>
      <w:r w:rsidR="000B69AA">
        <w:rPr>
          <w:rFonts w:ascii="Arial" w:hAnsi="Arial" w:cs="Arial"/>
          <w:b/>
          <w:sz w:val="24"/>
          <w:szCs w:val="24"/>
        </w:rPr>
        <w:t>3</w:t>
      </w:r>
      <w:r w:rsidRPr="00B867F5">
        <w:rPr>
          <w:rFonts w:ascii="Arial" w:hAnsi="Arial" w:cs="Arial"/>
          <w:sz w:val="24"/>
          <w:szCs w:val="24"/>
        </w:rPr>
        <w:t xml:space="preserve">. </w:t>
      </w:r>
    </w:p>
    <w:p w14:paraId="3A129301" w14:textId="77777777" w:rsidR="00342E98" w:rsidRDefault="00342E98">
      <w:pPr>
        <w:spacing w:after="120"/>
        <w:jc w:val="both"/>
        <w:rPr>
          <w:rFonts w:ascii="Arial" w:hAnsi="Arial" w:cs="Arial"/>
          <w:b/>
          <w:i/>
          <w:sz w:val="24"/>
          <w:szCs w:val="24"/>
        </w:rPr>
      </w:pPr>
    </w:p>
    <w:p w14:paraId="2664BDF7" w14:textId="77777777" w:rsidR="008D1598" w:rsidRDefault="00AD13C1">
      <w:pPr>
        <w:spacing w:after="120"/>
        <w:jc w:val="both"/>
        <w:rPr>
          <w:rFonts w:ascii="Arial" w:hAnsi="Arial" w:cs="Arial"/>
          <w:b/>
          <w:i/>
          <w:sz w:val="24"/>
          <w:szCs w:val="24"/>
        </w:rPr>
      </w:pPr>
      <w:r w:rsidRPr="00B867F5">
        <w:rPr>
          <w:rFonts w:ascii="Arial" w:hAnsi="Arial" w:cs="Arial"/>
          <w:b/>
          <w:i/>
          <w:sz w:val="24"/>
          <w:szCs w:val="24"/>
        </w:rPr>
        <w:t>Action Package for CBC Performance Framework</w:t>
      </w:r>
    </w:p>
    <w:p w14:paraId="01D88141" w14:textId="77777777" w:rsidR="008D1598" w:rsidRDefault="00AD13C1">
      <w:pPr>
        <w:spacing w:after="120"/>
        <w:jc w:val="both"/>
        <w:rPr>
          <w:rFonts w:ascii="Arial" w:hAnsi="Arial" w:cs="Arial"/>
          <w:sz w:val="24"/>
          <w:szCs w:val="24"/>
        </w:rPr>
      </w:pPr>
      <w:r w:rsidRPr="00B867F5">
        <w:rPr>
          <w:rFonts w:ascii="Arial" w:hAnsi="Arial" w:cs="Arial"/>
          <w:sz w:val="24"/>
          <w:szCs w:val="24"/>
        </w:rPr>
        <w:t>In response to the findings and recommendations</w:t>
      </w:r>
      <w:r w:rsidR="00B867F5" w:rsidRPr="00B867F5">
        <w:rPr>
          <w:rFonts w:ascii="Arial" w:hAnsi="Arial" w:cs="Arial"/>
          <w:sz w:val="24"/>
          <w:szCs w:val="24"/>
        </w:rPr>
        <w:t xml:space="preserve"> </w:t>
      </w:r>
      <w:r w:rsidR="000D09BF">
        <w:rPr>
          <w:rFonts w:ascii="Arial" w:hAnsi="Arial" w:cs="Arial"/>
          <w:sz w:val="24"/>
          <w:szCs w:val="24"/>
        </w:rPr>
        <w:t xml:space="preserve">stemming from the </w:t>
      </w:r>
      <w:r w:rsidR="00B867F5" w:rsidRPr="00B867F5">
        <w:rPr>
          <w:rFonts w:ascii="Arial" w:hAnsi="Arial" w:cs="Arial"/>
          <w:sz w:val="24"/>
          <w:szCs w:val="24"/>
          <w:lang w:eastAsia="ar-SA"/>
        </w:rPr>
        <w:t>evaluation of the 2007-2013 IPA CBC programmes</w:t>
      </w:r>
      <w:r w:rsidRPr="00B867F5">
        <w:rPr>
          <w:rFonts w:ascii="Arial" w:hAnsi="Arial" w:cs="Arial"/>
          <w:sz w:val="24"/>
          <w:szCs w:val="24"/>
        </w:rPr>
        <w:t xml:space="preserve"> and in the broader context of the strategy for </w:t>
      </w:r>
      <w:r w:rsidR="00B867F5" w:rsidRPr="00B867F5">
        <w:rPr>
          <w:rFonts w:ascii="Arial" w:hAnsi="Arial" w:cs="Arial"/>
          <w:sz w:val="24"/>
          <w:szCs w:val="24"/>
        </w:rPr>
        <w:t>exploiting lessons learnt and synergies,</w:t>
      </w:r>
      <w:r w:rsidRPr="00B867F5">
        <w:rPr>
          <w:rFonts w:ascii="Arial" w:hAnsi="Arial" w:cs="Arial"/>
          <w:sz w:val="24"/>
          <w:szCs w:val="24"/>
        </w:rPr>
        <w:t xml:space="preserve"> the CBIB+</w:t>
      </w:r>
      <w:r w:rsidR="00213922">
        <w:rPr>
          <w:rFonts w:ascii="Arial" w:hAnsi="Arial" w:cs="Arial"/>
          <w:sz w:val="24"/>
          <w:szCs w:val="24"/>
        </w:rPr>
        <w:t>2 team</w:t>
      </w:r>
      <w:r w:rsidRPr="00B867F5">
        <w:rPr>
          <w:rFonts w:ascii="Arial" w:hAnsi="Arial" w:cs="Arial"/>
          <w:sz w:val="24"/>
          <w:szCs w:val="24"/>
        </w:rPr>
        <w:t xml:space="preserve"> developed an Action Package for a CBC Performance Framework</w:t>
      </w:r>
      <w:r w:rsidR="00213922">
        <w:rPr>
          <w:rFonts w:ascii="Arial" w:hAnsi="Arial" w:cs="Arial"/>
          <w:sz w:val="24"/>
          <w:szCs w:val="24"/>
        </w:rPr>
        <w:t>. This package consists of the following components</w:t>
      </w:r>
      <w:r w:rsidRPr="00B867F5">
        <w:rPr>
          <w:rFonts w:ascii="Arial" w:hAnsi="Arial" w:cs="Arial"/>
          <w:sz w:val="24"/>
          <w:szCs w:val="24"/>
        </w:rPr>
        <w:t>, each comprising a number of actions</w:t>
      </w:r>
      <w:r w:rsidR="00213922">
        <w:rPr>
          <w:rFonts w:ascii="Arial" w:hAnsi="Arial" w:cs="Arial"/>
          <w:sz w:val="24"/>
          <w:szCs w:val="24"/>
        </w:rPr>
        <w:t xml:space="preserve"> and responding to specific recommendations of the evaluation</w:t>
      </w:r>
      <w:r w:rsidRPr="00B867F5">
        <w:rPr>
          <w:rFonts w:ascii="Arial" w:hAnsi="Arial" w:cs="Arial"/>
          <w:sz w:val="24"/>
          <w:szCs w:val="24"/>
        </w:rPr>
        <w:t>:</w:t>
      </w:r>
    </w:p>
    <w:p w14:paraId="69E349E4" w14:textId="77777777" w:rsidR="008D1598" w:rsidRDefault="00AD13C1">
      <w:pPr>
        <w:pStyle w:val="ListParagraph"/>
        <w:numPr>
          <w:ilvl w:val="0"/>
          <w:numId w:val="26"/>
        </w:numPr>
        <w:spacing w:after="120"/>
        <w:jc w:val="both"/>
        <w:rPr>
          <w:rFonts w:ascii="Arial" w:hAnsi="Arial" w:cs="Arial"/>
          <w:sz w:val="24"/>
          <w:szCs w:val="24"/>
        </w:rPr>
      </w:pPr>
      <w:r w:rsidRPr="00B867F5">
        <w:rPr>
          <w:rFonts w:ascii="Arial" w:hAnsi="Arial" w:cs="Arial"/>
          <w:sz w:val="24"/>
          <w:szCs w:val="24"/>
        </w:rPr>
        <w:t>Better focused programmes</w:t>
      </w:r>
    </w:p>
    <w:p w14:paraId="4F96A145" w14:textId="0B189F4B" w:rsidR="008D1598" w:rsidRDefault="00AD13C1">
      <w:pPr>
        <w:pStyle w:val="ListParagraph"/>
        <w:numPr>
          <w:ilvl w:val="0"/>
          <w:numId w:val="26"/>
        </w:numPr>
        <w:spacing w:after="120"/>
        <w:jc w:val="both"/>
        <w:rPr>
          <w:rFonts w:ascii="Arial" w:hAnsi="Arial" w:cs="Arial"/>
          <w:sz w:val="24"/>
          <w:szCs w:val="24"/>
        </w:rPr>
      </w:pPr>
      <w:r w:rsidRPr="00B867F5">
        <w:rPr>
          <w:rFonts w:ascii="Arial" w:hAnsi="Arial" w:cs="Arial"/>
          <w:sz w:val="24"/>
          <w:szCs w:val="24"/>
        </w:rPr>
        <w:t xml:space="preserve">Better focused </w:t>
      </w:r>
      <w:r w:rsidR="00652508">
        <w:rPr>
          <w:rFonts w:ascii="Arial" w:hAnsi="Arial" w:cs="Arial"/>
          <w:sz w:val="24"/>
          <w:szCs w:val="24"/>
        </w:rPr>
        <w:t>calls for proposals</w:t>
      </w:r>
    </w:p>
    <w:p w14:paraId="60B5C50E" w14:textId="77777777" w:rsidR="008D1598" w:rsidRDefault="00AD13C1">
      <w:pPr>
        <w:pStyle w:val="ListParagraph"/>
        <w:numPr>
          <w:ilvl w:val="0"/>
          <w:numId w:val="26"/>
        </w:numPr>
        <w:spacing w:after="120"/>
        <w:jc w:val="both"/>
        <w:rPr>
          <w:rFonts w:ascii="Arial" w:hAnsi="Arial" w:cs="Arial"/>
          <w:sz w:val="24"/>
          <w:szCs w:val="24"/>
        </w:rPr>
      </w:pPr>
      <w:r w:rsidRPr="00B867F5">
        <w:rPr>
          <w:rFonts w:ascii="Arial" w:hAnsi="Arial" w:cs="Arial"/>
          <w:sz w:val="24"/>
          <w:szCs w:val="24"/>
        </w:rPr>
        <w:t>More realistic and robust system of indicators</w:t>
      </w:r>
    </w:p>
    <w:p w14:paraId="3855A6FE" w14:textId="77777777" w:rsidR="008D1598" w:rsidRDefault="00AD13C1">
      <w:pPr>
        <w:pStyle w:val="ListParagraph"/>
        <w:numPr>
          <w:ilvl w:val="0"/>
          <w:numId w:val="26"/>
        </w:numPr>
        <w:spacing w:after="120"/>
        <w:jc w:val="both"/>
        <w:rPr>
          <w:rFonts w:ascii="Arial" w:hAnsi="Arial" w:cs="Arial"/>
          <w:sz w:val="24"/>
          <w:szCs w:val="24"/>
        </w:rPr>
      </w:pPr>
      <w:r w:rsidRPr="00B867F5">
        <w:rPr>
          <w:rFonts w:ascii="Arial" w:hAnsi="Arial" w:cs="Arial"/>
          <w:sz w:val="24"/>
          <w:szCs w:val="24"/>
        </w:rPr>
        <w:t>Data management, collection, analysis &amp; reporting</w:t>
      </w:r>
    </w:p>
    <w:p w14:paraId="48F4303F" w14:textId="77777777" w:rsidR="008D1598" w:rsidRDefault="00AD13C1">
      <w:pPr>
        <w:pStyle w:val="ListParagraph"/>
        <w:numPr>
          <w:ilvl w:val="0"/>
          <w:numId w:val="26"/>
        </w:numPr>
        <w:spacing w:after="120"/>
        <w:jc w:val="both"/>
        <w:rPr>
          <w:rFonts w:ascii="Arial" w:hAnsi="Arial" w:cs="Arial"/>
          <w:sz w:val="24"/>
          <w:szCs w:val="24"/>
        </w:rPr>
      </w:pPr>
      <w:r w:rsidRPr="00B867F5">
        <w:rPr>
          <w:rFonts w:ascii="Arial" w:hAnsi="Arial" w:cs="Arial"/>
          <w:sz w:val="24"/>
          <w:szCs w:val="24"/>
        </w:rPr>
        <w:t>Surveys (to obtain feedback from successful and unsuccessful applicants, as well as potential beneficiaries)</w:t>
      </w:r>
    </w:p>
    <w:p w14:paraId="5AEBAFC9" w14:textId="77777777" w:rsidR="008D1598" w:rsidRDefault="00AD13C1">
      <w:pPr>
        <w:pStyle w:val="ListParagraph"/>
        <w:numPr>
          <w:ilvl w:val="0"/>
          <w:numId w:val="26"/>
        </w:numPr>
        <w:spacing w:after="120"/>
        <w:jc w:val="both"/>
        <w:rPr>
          <w:rFonts w:ascii="Arial" w:hAnsi="Arial" w:cs="Arial"/>
          <w:sz w:val="24"/>
          <w:szCs w:val="24"/>
        </w:rPr>
      </w:pPr>
      <w:r w:rsidRPr="00B867F5">
        <w:rPr>
          <w:rFonts w:ascii="Arial" w:hAnsi="Arial" w:cs="Arial"/>
          <w:sz w:val="24"/>
          <w:szCs w:val="24"/>
        </w:rPr>
        <w:t>Programme evaluations</w:t>
      </w:r>
    </w:p>
    <w:p w14:paraId="1EC39620" w14:textId="77777777" w:rsidR="008D1598" w:rsidRDefault="00AD13C1">
      <w:pPr>
        <w:pStyle w:val="ListParagraph"/>
        <w:numPr>
          <w:ilvl w:val="0"/>
          <w:numId w:val="26"/>
        </w:numPr>
        <w:spacing w:after="120"/>
        <w:jc w:val="both"/>
        <w:rPr>
          <w:rFonts w:ascii="Arial" w:hAnsi="Arial" w:cs="Arial"/>
          <w:sz w:val="24"/>
          <w:szCs w:val="24"/>
        </w:rPr>
      </w:pPr>
      <w:r w:rsidRPr="00B867F5">
        <w:rPr>
          <w:rFonts w:ascii="Arial" w:hAnsi="Arial" w:cs="Arial"/>
          <w:sz w:val="24"/>
          <w:szCs w:val="24"/>
        </w:rPr>
        <w:t>Developing a performance culture</w:t>
      </w:r>
    </w:p>
    <w:p w14:paraId="506316E0" w14:textId="77777777" w:rsidR="008D1598" w:rsidRDefault="00AD13C1">
      <w:pPr>
        <w:spacing w:after="120"/>
        <w:jc w:val="both"/>
        <w:rPr>
          <w:rFonts w:ascii="Arial" w:eastAsia="Times New Roman" w:hAnsi="Arial" w:cs="Arial"/>
          <w:sz w:val="24"/>
          <w:lang w:eastAsia="en-GB"/>
        </w:rPr>
      </w:pPr>
      <w:r w:rsidRPr="00B867F5">
        <w:rPr>
          <w:rFonts w:ascii="Arial" w:eastAsia="Times New Roman" w:hAnsi="Arial" w:cs="Arial"/>
          <w:sz w:val="24"/>
          <w:lang w:eastAsia="en-GB"/>
        </w:rPr>
        <w:t xml:space="preserve">Several of the specific actions envisaged in this package have been launched, such as </w:t>
      </w:r>
      <w:r w:rsidR="00C47C99">
        <w:rPr>
          <w:rFonts w:ascii="Arial" w:eastAsia="Times New Roman" w:hAnsi="Arial" w:cs="Arial"/>
          <w:sz w:val="24"/>
          <w:lang w:eastAsia="en-GB"/>
        </w:rPr>
        <w:t>a guidance</w:t>
      </w:r>
      <w:r w:rsidR="000D09BF">
        <w:rPr>
          <w:rFonts w:ascii="Arial" w:eastAsia="Times New Roman" w:hAnsi="Arial" w:cs="Arial"/>
          <w:sz w:val="24"/>
          <w:lang w:eastAsia="en-GB"/>
        </w:rPr>
        <w:t xml:space="preserve"> application package</w:t>
      </w:r>
      <w:r w:rsidR="000D09BF">
        <w:rPr>
          <w:rStyle w:val="FootnoteReference"/>
          <w:rFonts w:eastAsia="Times New Roman" w:cs="Arial"/>
          <w:lang w:eastAsia="en-GB"/>
        </w:rPr>
        <w:footnoteReference w:id="1"/>
      </w:r>
      <w:r w:rsidR="000D09BF">
        <w:rPr>
          <w:rFonts w:ascii="Arial" w:eastAsia="Times New Roman" w:hAnsi="Arial" w:cs="Arial"/>
          <w:sz w:val="24"/>
          <w:lang w:eastAsia="en-GB"/>
        </w:rPr>
        <w:t xml:space="preserve"> and </w:t>
      </w:r>
      <w:r w:rsidRPr="00B867F5">
        <w:rPr>
          <w:rFonts w:ascii="Arial" w:eastAsia="Times New Roman" w:hAnsi="Arial" w:cs="Arial"/>
          <w:sz w:val="24"/>
          <w:lang w:eastAsia="en-GB"/>
        </w:rPr>
        <w:t xml:space="preserve">an improved indicators system, while others are in the process of being activated. </w:t>
      </w:r>
    </w:p>
    <w:p w14:paraId="047173A2" w14:textId="77777777" w:rsidR="008D1598" w:rsidRDefault="00AD13C1">
      <w:pPr>
        <w:spacing w:after="120"/>
        <w:jc w:val="both"/>
        <w:rPr>
          <w:rFonts w:ascii="Arial" w:eastAsia="Times New Roman" w:hAnsi="Arial" w:cs="Arial"/>
          <w:sz w:val="24"/>
          <w:lang w:eastAsia="en-GB"/>
        </w:rPr>
      </w:pPr>
      <w:r w:rsidRPr="00B867F5">
        <w:rPr>
          <w:rFonts w:ascii="Arial" w:eastAsia="Times New Roman" w:hAnsi="Arial" w:cs="Arial"/>
          <w:sz w:val="24"/>
          <w:lang w:eastAsia="en-GB"/>
        </w:rPr>
        <w:t xml:space="preserve">The </w:t>
      </w:r>
      <w:r w:rsidRPr="00B867F5">
        <w:rPr>
          <w:rFonts w:ascii="Arial" w:hAnsi="Arial" w:cs="Arial"/>
          <w:sz w:val="24"/>
          <w:szCs w:val="24"/>
        </w:rPr>
        <w:t>Action Package for CBC Performance Framework is in</w:t>
      </w:r>
      <w:r w:rsidRPr="00B867F5">
        <w:rPr>
          <w:rFonts w:ascii="Arial" w:hAnsi="Arial" w:cs="Arial"/>
          <w:b/>
          <w:sz w:val="24"/>
          <w:szCs w:val="24"/>
        </w:rPr>
        <w:t xml:space="preserve"> Annex </w:t>
      </w:r>
      <w:r w:rsidR="000B69AA">
        <w:rPr>
          <w:rFonts w:ascii="Arial" w:hAnsi="Arial" w:cs="Arial"/>
          <w:b/>
          <w:sz w:val="24"/>
          <w:szCs w:val="24"/>
        </w:rPr>
        <w:t>4</w:t>
      </w:r>
      <w:r w:rsidRPr="00B867F5">
        <w:rPr>
          <w:rFonts w:ascii="Arial" w:hAnsi="Arial" w:cs="Arial"/>
          <w:b/>
          <w:sz w:val="24"/>
          <w:szCs w:val="24"/>
        </w:rPr>
        <w:t>.</w:t>
      </w:r>
    </w:p>
    <w:p w14:paraId="0F6DC2AE" w14:textId="77777777" w:rsidR="008D1598" w:rsidRDefault="008D1598">
      <w:pPr>
        <w:spacing w:after="120"/>
        <w:jc w:val="both"/>
        <w:rPr>
          <w:rFonts w:ascii="Calibri" w:eastAsia="Times New Roman" w:hAnsi="Calibri" w:cs="Times New Roman"/>
          <w:lang w:eastAsia="en-GB"/>
        </w:rPr>
      </w:pPr>
    </w:p>
    <w:p w14:paraId="00D242DD" w14:textId="77777777" w:rsidR="008D1598" w:rsidRDefault="00213C1E">
      <w:pPr>
        <w:spacing w:after="120"/>
        <w:jc w:val="both"/>
        <w:rPr>
          <w:rFonts w:ascii="Arial" w:hAnsi="Arial" w:cs="Arial"/>
          <w:b/>
          <w:sz w:val="28"/>
          <w:szCs w:val="24"/>
        </w:rPr>
      </w:pPr>
      <w:r w:rsidRPr="00213922">
        <w:rPr>
          <w:rFonts w:ascii="Arial" w:hAnsi="Arial" w:cs="Arial"/>
          <w:b/>
          <w:sz w:val="28"/>
          <w:szCs w:val="24"/>
        </w:rPr>
        <w:t>4. Priority actions</w:t>
      </w:r>
    </w:p>
    <w:p w14:paraId="1D5BCDDD" w14:textId="77777777" w:rsidR="008D1598" w:rsidRDefault="00DE20F0">
      <w:pPr>
        <w:spacing w:after="120"/>
        <w:jc w:val="both"/>
        <w:rPr>
          <w:rFonts w:ascii="Arial" w:hAnsi="Arial" w:cs="Arial"/>
          <w:b/>
          <w:i/>
          <w:sz w:val="24"/>
          <w:szCs w:val="24"/>
        </w:rPr>
      </w:pPr>
      <w:r>
        <w:rPr>
          <w:rFonts w:ascii="Arial" w:hAnsi="Arial" w:cs="Arial"/>
          <w:b/>
          <w:i/>
          <w:sz w:val="24"/>
          <w:szCs w:val="24"/>
        </w:rPr>
        <w:t xml:space="preserve">Ex-post surveys </w:t>
      </w:r>
    </w:p>
    <w:p w14:paraId="65F545E4" w14:textId="107819EA" w:rsidR="008D1598" w:rsidRDefault="00DE20F0">
      <w:pPr>
        <w:spacing w:after="120"/>
        <w:jc w:val="both"/>
        <w:rPr>
          <w:rFonts w:ascii="Arial" w:hAnsi="Arial" w:cs="Arial"/>
          <w:sz w:val="24"/>
          <w:szCs w:val="24"/>
        </w:rPr>
      </w:pPr>
      <w:r>
        <w:rPr>
          <w:rFonts w:ascii="Arial" w:hAnsi="Arial" w:cs="Arial"/>
          <w:sz w:val="24"/>
          <w:szCs w:val="24"/>
        </w:rPr>
        <w:t xml:space="preserve">Getting feedback from grant beneficiaries and other stakeholders is considered extremely important and </w:t>
      </w:r>
      <w:r w:rsidR="00C47C99">
        <w:rPr>
          <w:rFonts w:ascii="Arial" w:hAnsi="Arial" w:cs="Arial"/>
          <w:sz w:val="24"/>
          <w:szCs w:val="24"/>
        </w:rPr>
        <w:t>was</w:t>
      </w:r>
      <w:r>
        <w:rPr>
          <w:rFonts w:ascii="Arial" w:hAnsi="Arial" w:cs="Arial"/>
          <w:sz w:val="24"/>
          <w:szCs w:val="24"/>
        </w:rPr>
        <w:t xml:space="preserve"> already supported in Phase 1 of CBIB+ with a survey concerning the SR-ME IPA I CBC programme. The conclusion drawn from this exercise suggested that </w:t>
      </w:r>
      <w:r w:rsidRPr="00DE20F0">
        <w:rPr>
          <w:rFonts w:ascii="Arial" w:hAnsi="Arial" w:cs="Arial"/>
          <w:sz w:val="24"/>
          <w:szCs w:val="24"/>
        </w:rPr>
        <w:t>such surveys</w:t>
      </w:r>
      <w:r>
        <w:rPr>
          <w:rFonts w:ascii="Arial" w:hAnsi="Arial" w:cs="Arial"/>
          <w:sz w:val="24"/>
          <w:szCs w:val="24"/>
        </w:rPr>
        <w:t xml:space="preserve"> should be </w:t>
      </w:r>
      <w:r w:rsidR="00C47C99">
        <w:rPr>
          <w:rFonts w:ascii="Arial" w:hAnsi="Arial" w:cs="Arial"/>
          <w:sz w:val="24"/>
          <w:szCs w:val="24"/>
        </w:rPr>
        <w:t xml:space="preserve">regularly </w:t>
      </w:r>
      <w:r>
        <w:rPr>
          <w:rFonts w:ascii="Arial" w:hAnsi="Arial" w:cs="Arial"/>
          <w:sz w:val="24"/>
          <w:szCs w:val="24"/>
        </w:rPr>
        <w:t xml:space="preserve">used under the IPA II CBC programmes. The CBIB+2 has thus worked with a range of surveys, covering successful and unsuccessful grant applicants (under the IPA I CBC), as well as JMC members (e.g. MK-AL and AL-XK) and participants in </w:t>
      </w:r>
      <w:r w:rsidR="00C47C99">
        <w:rPr>
          <w:rFonts w:ascii="Arial" w:hAnsi="Arial" w:cs="Arial"/>
          <w:sz w:val="24"/>
          <w:szCs w:val="24"/>
        </w:rPr>
        <w:t xml:space="preserve">partners’ </w:t>
      </w:r>
      <w:r>
        <w:rPr>
          <w:rFonts w:ascii="Arial" w:hAnsi="Arial" w:cs="Arial"/>
          <w:sz w:val="24"/>
          <w:szCs w:val="24"/>
        </w:rPr>
        <w:t>search forums, information sessions</w:t>
      </w:r>
      <w:r w:rsidR="00C47C99">
        <w:rPr>
          <w:rFonts w:ascii="Arial" w:hAnsi="Arial" w:cs="Arial"/>
          <w:sz w:val="24"/>
          <w:szCs w:val="24"/>
        </w:rPr>
        <w:t>,</w:t>
      </w:r>
      <w:r>
        <w:rPr>
          <w:rFonts w:ascii="Arial" w:hAnsi="Arial" w:cs="Arial"/>
          <w:sz w:val="24"/>
          <w:szCs w:val="24"/>
        </w:rPr>
        <w:t xml:space="preserve"> launch ceremonies and PCM training</w:t>
      </w:r>
      <w:r w:rsidR="00525548">
        <w:rPr>
          <w:rFonts w:ascii="Arial" w:hAnsi="Arial" w:cs="Arial"/>
          <w:sz w:val="24"/>
          <w:szCs w:val="24"/>
        </w:rPr>
        <w:t xml:space="preserve"> events</w:t>
      </w:r>
      <w:r>
        <w:rPr>
          <w:rFonts w:ascii="Arial" w:hAnsi="Arial" w:cs="Arial"/>
          <w:sz w:val="24"/>
          <w:szCs w:val="24"/>
        </w:rPr>
        <w:t xml:space="preserve"> (e.g. MK-AL, AL-XS, MK-XS, B</w:t>
      </w:r>
      <w:r w:rsidR="00525548">
        <w:rPr>
          <w:rFonts w:ascii="Arial" w:hAnsi="Arial" w:cs="Arial"/>
          <w:sz w:val="24"/>
          <w:szCs w:val="24"/>
        </w:rPr>
        <w:t>A</w:t>
      </w:r>
      <w:r>
        <w:rPr>
          <w:rFonts w:ascii="Arial" w:hAnsi="Arial" w:cs="Arial"/>
          <w:sz w:val="24"/>
          <w:szCs w:val="24"/>
        </w:rPr>
        <w:t>-ME)</w:t>
      </w:r>
      <w:r w:rsidR="004461CF">
        <w:rPr>
          <w:rFonts w:ascii="Arial" w:hAnsi="Arial" w:cs="Arial"/>
          <w:sz w:val="24"/>
          <w:szCs w:val="24"/>
        </w:rPr>
        <w:t>, under the</w:t>
      </w:r>
      <w:r w:rsidR="00525548">
        <w:rPr>
          <w:rFonts w:ascii="Arial" w:hAnsi="Arial" w:cs="Arial"/>
          <w:sz w:val="24"/>
          <w:szCs w:val="24"/>
        </w:rPr>
        <w:t xml:space="preserve"> 2014-2020</w:t>
      </w:r>
      <w:r w:rsidR="004461CF">
        <w:rPr>
          <w:rFonts w:ascii="Arial" w:hAnsi="Arial" w:cs="Arial"/>
          <w:sz w:val="24"/>
          <w:szCs w:val="24"/>
        </w:rPr>
        <w:t xml:space="preserve"> IPA II CBC </w:t>
      </w:r>
      <w:r w:rsidR="00525548">
        <w:rPr>
          <w:rFonts w:ascii="Arial" w:hAnsi="Arial" w:cs="Arial"/>
          <w:sz w:val="24"/>
          <w:szCs w:val="24"/>
        </w:rPr>
        <w:t>programmes</w:t>
      </w:r>
      <w:r>
        <w:rPr>
          <w:rFonts w:ascii="Arial" w:hAnsi="Arial" w:cs="Arial"/>
          <w:sz w:val="24"/>
          <w:szCs w:val="24"/>
        </w:rPr>
        <w:t>.</w:t>
      </w:r>
    </w:p>
    <w:p w14:paraId="0D87206C" w14:textId="42A19CE0" w:rsidR="008D1598" w:rsidRDefault="00DE20F0">
      <w:pPr>
        <w:spacing w:after="120"/>
        <w:jc w:val="both"/>
        <w:rPr>
          <w:rFonts w:ascii="Arial" w:hAnsi="Arial" w:cs="Arial"/>
          <w:sz w:val="24"/>
          <w:szCs w:val="24"/>
          <w:highlight w:val="yellow"/>
        </w:rPr>
      </w:pPr>
      <w:r>
        <w:rPr>
          <w:rFonts w:ascii="Arial" w:hAnsi="Arial" w:cs="Arial"/>
          <w:sz w:val="24"/>
          <w:szCs w:val="24"/>
        </w:rPr>
        <w:lastRenderedPageBreak/>
        <w:t xml:space="preserve">Ex-post </w:t>
      </w:r>
      <w:r w:rsidR="00342E98">
        <w:rPr>
          <w:rFonts w:ascii="Arial" w:hAnsi="Arial" w:cs="Arial"/>
          <w:sz w:val="24"/>
          <w:szCs w:val="24"/>
        </w:rPr>
        <w:t xml:space="preserve">surveys </w:t>
      </w:r>
      <w:r>
        <w:rPr>
          <w:rFonts w:ascii="Arial" w:hAnsi="Arial" w:cs="Arial"/>
          <w:sz w:val="24"/>
          <w:szCs w:val="24"/>
        </w:rPr>
        <w:t>o</w:t>
      </w:r>
      <w:r w:rsidR="00342E98">
        <w:rPr>
          <w:rFonts w:ascii="Arial" w:hAnsi="Arial" w:cs="Arial"/>
          <w:sz w:val="24"/>
          <w:szCs w:val="24"/>
        </w:rPr>
        <w:t>n</w:t>
      </w:r>
      <w:r>
        <w:rPr>
          <w:rFonts w:ascii="Arial" w:hAnsi="Arial" w:cs="Arial"/>
          <w:sz w:val="24"/>
          <w:szCs w:val="24"/>
        </w:rPr>
        <w:t xml:space="preserve"> implemented projects</w:t>
      </w:r>
      <w:r w:rsidR="00342E98">
        <w:rPr>
          <w:rFonts w:ascii="Arial" w:hAnsi="Arial" w:cs="Arial"/>
          <w:sz w:val="24"/>
          <w:szCs w:val="24"/>
        </w:rPr>
        <w:t xml:space="preserve"> under the </w:t>
      </w:r>
      <w:r w:rsidR="00652508">
        <w:rPr>
          <w:rFonts w:ascii="Arial" w:hAnsi="Arial" w:cs="Arial"/>
          <w:sz w:val="24"/>
          <w:szCs w:val="24"/>
        </w:rPr>
        <w:t xml:space="preserve">2007-2013 </w:t>
      </w:r>
      <w:r w:rsidR="00342E98">
        <w:rPr>
          <w:rFonts w:ascii="Arial" w:hAnsi="Arial" w:cs="Arial"/>
          <w:sz w:val="24"/>
          <w:szCs w:val="24"/>
        </w:rPr>
        <w:t xml:space="preserve">IPA CBC </w:t>
      </w:r>
      <w:r w:rsidR="00652508">
        <w:rPr>
          <w:rFonts w:ascii="Arial" w:hAnsi="Arial" w:cs="Arial"/>
          <w:sz w:val="24"/>
          <w:szCs w:val="24"/>
        </w:rPr>
        <w:t>programmes</w:t>
      </w:r>
      <w:r>
        <w:rPr>
          <w:rFonts w:ascii="Arial" w:hAnsi="Arial" w:cs="Arial"/>
          <w:sz w:val="24"/>
          <w:szCs w:val="24"/>
        </w:rPr>
        <w:t xml:space="preserve"> ha</w:t>
      </w:r>
      <w:r w:rsidR="00652508">
        <w:rPr>
          <w:rFonts w:ascii="Arial" w:hAnsi="Arial" w:cs="Arial"/>
          <w:sz w:val="24"/>
          <w:szCs w:val="24"/>
        </w:rPr>
        <w:t>ve</w:t>
      </w:r>
      <w:r>
        <w:rPr>
          <w:rFonts w:ascii="Arial" w:hAnsi="Arial" w:cs="Arial"/>
          <w:sz w:val="24"/>
          <w:szCs w:val="24"/>
        </w:rPr>
        <w:t xml:space="preserve"> now progressed and, as shown in the summary </w:t>
      </w:r>
      <w:r w:rsidR="00525548">
        <w:rPr>
          <w:rFonts w:ascii="Arial" w:hAnsi="Arial" w:cs="Arial"/>
          <w:sz w:val="24"/>
          <w:szCs w:val="24"/>
        </w:rPr>
        <w:t xml:space="preserve">provided </w:t>
      </w:r>
      <w:r>
        <w:rPr>
          <w:rFonts w:ascii="Arial" w:hAnsi="Arial" w:cs="Arial"/>
          <w:sz w:val="24"/>
          <w:szCs w:val="24"/>
        </w:rPr>
        <w:t xml:space="preserve">in </w:t>
      </w:r>
      <w:r>
        <w:rPr>
          <w:rFonts w:ascii="Arial" w:hAnsi="Arial" w:cs="Arial"/>
          <w:b/>
          <w:sz w:val="24"/>
          <w:szCs w:val="24"/>
        </w:rPr>
        <w:t xml:space="preserve">Annex 5, </w:t>
      </w:r>
      <w:r>
        <w:rPr>
          <w:rFonts w:ascii="Arial" w:hAnsi="Arial" w:cs="Arial"/>
          <w:sz w:val="24"/>
          <w:szCs w:val="24"/>
        </w:rPr>
        <w:t xml:space="preserve">questionnaires have been dispatched to grant beneficiaries and unsuccessful </w:t>
      </w:r>
      <w:r w:rsidR="00525548">
        <w:rPr>
          <w:rFonts w:ascii="Arial" w:hAnsi="Arial" w:cs="Arial"/>
          <w:sz w:val="24"/>
          <w:szCs w:val="24"/>
        </w:rPr>
        <w:t>applicants</w:t>
      </w:r>
      <w:r>
        <w:rPr>
          <w:rFonts w:ascii="Arial" w:hAnsi="Arial" w:cs="Arial"/>
          <w:sz w:val="24"/>
          <w:szCs w:val="24"/>
        </w:rPr>
        <w:t xml:space="preserve"> </w:t>
      </w:r>
      <w:r w:rsidR="00525548">
        <w:rPr>
          <w:rFonts w:ascii="Arial" w:hAnsi="Arial" w:cs="Arial"/>
          <w:sz w:val="24"/>
          <w:szCs w:val="24"/>
        </w:rPr>
        <w:t>under</w:t>
      </w:r>
      <w:r>
        <w:rPr>
          <w:rFonts w:ascii="Arial" w:hAnsi="Arial" w:cs="Arial"/>
          <w:sz w:val="24"/>
          <w:szCs w:val="24"/>
        </w:rPr>
        <w:t xml:space="preserve"> all eight IPA I CBC programmes</w:t>
      </w:r>
      <w:r w:rsidRPr="00DE20F0">
        <w:rPr>
          <w:rFonts w:ascii="Arial" w:hAnsi="Arial" w:cs="Arial"/>
          <w:sz w:val="24"/>
          <w:szCs w:val="24"/>
        </w:rPr>
        <w:t>.</w:t>
      </w:r>
      <w:r>
        <w:rPr>
          <w:rFonts w:ascii="Arial" w:hAnsi="Arial" w:cs="Arial"/>
          <w:sz w:val="24"/>
          <w:szCs w:val="24"/>
        </w:rPr>
        <w:t xml:space="preserve"> Preliminary or final analytical reports have already been drafted by the CBIB+2 team or are in progress for the following</w:t>
      </w:r>
      <w:r w:rsidR="00525548">
        <w:rPr>
          <w:rFonts w:ascii="Arial" w:hAnsi="Arial" w:cs="Arial"/>
          <w:sz w:val="24"/>
          <w:szCs w:val="24"/>
        </w:rPr>
        <w:t xml:space="preserve"> programmes</w:t>
      </w:r>
      <w:r>
        <w:rPr>
          <w:rFonts w:ascii="Arial" w:hAnsi="Arial" w:cs="Arial"/>
          <w:sz w:val="24"/>
          <w:szCs w:val="24"/>
        </w:rPr>
        <w:t>: RS-ME (</w:t>
      </w:r>
      <w:r w:rsidR="00D440AE">
        <w:rPr>
          <w:rFonts w:ascii="Arial" w:hAnsi="Arial" w:cs="Arial"/>
          <w:sz w:val="24"/>
          <w:szCs w:val="24"/>
        </w:rPr>
        <w:t xml:space="preserve">completed </w:t>
      </w:r>
      <w:r w:rsidR="00525548">
        <w:rPr>
          <w:rFonts w:ascii="Arial" w:hAnsi="Arial" w:cs="Arial"/>
          <w:sz w:val="24"/>
          <w:szCs w:val="24"/>
        </w:rPr>
        <w:t>under CBIB+ Phase 1</w:t>
      </w:r>
      <w:r>
        <w:rPr>
          <w:rFonts w:ascii="Arial" w:hAnsi="Arial" w:cs="Arial"/>
          <w:sz w:val="24"/>
          <w:szCs w:val="24"/>
        </w:rPr>
        <w:t>), MK-AL, MK-XK, BA-ME</w:t>
      </w:r>
      <w:r w:rsidR="00342E98">
        <w:rPr>
          <w:rFonts w:ascii="Arial" w:hAnsi="Arial" w:cs="Arial"/>
          <w:sz w:val="24"/>
          <w:szCs w:val="24"/>
        </w:rPr>
        <w:t>,</w:t>
      </w:r>
      <w:r w:rsidR="00652508">
        <w:rPr>
          <w:rFonts w:ascii="Arial" w:hAnsi="Arial" w:cs="Arial"/>
          <w:sz w:val="24"/>
          <w:szCs w:val="24"/>
        </w:rPr>
        <w:t xml:space="preserve"> </w:t>
      </w:r>
      <w:r>
        <w:rPr>
          <w:rFonts w:ascii="Arial" w:hAnsi="Arial" w:cs="Arial"/>
          <w:sz w:val="24"/>
          <w:szCs w:val="24"/>
        </w:rPr>
        <w:t>AL-XK</w:t>
      </w:r>
      <w:r w:rsidR="00342E98">
        <w:rPr>
          <w:rFonts w:ascii="Arial" w:hAnsi="Arial" w:cs="Arial"/>
          <w:sz w:val="24"/>
          <w:szCs w:val="24"/>
        </w:rPr>
        <w:t xml:space="preserve"> and ME-XK (to be initiated)</w:t>
      </w:r>
      <w:r>
        <w:rPr>
          <w:rFonts w:ascii="Arial" w:hAnsi="Arial" w:cs="Arial"/>
          <w:sz w:val="24"/>
          <w:szCs w:val="24"/>
        </w:rPr>
        <w:t xml:space="preserve">. Final analytical reports are </w:t>
      </w:r>
      <w:r w:rsidR="004461CF">
        <w:rPr>
          <w:rFonts w:ascii="Arial" w:hAnsi="Arial" w:cs="Arial"/>
          <w:sz w:val="24"/>
          <w:szCs w:val="24"/>
        </w:rPr>
        <w:t xml:space="preserve">already </w:t>
      </w:r>
      <w:r>
        <w:rPr>
          <w:rFonts w:ascii="Arial" w:hAnsi="Arial" w:cs="Arial"/>
          <w:sz w:val="24"/>
          <w:szCs w:val="24"/>
        </w:rPr>
        <w:t xml:space="preserve">included in the relevant </w:t>
      </w:r>
      <w:r w:rsidR="00525548">
        <w:rPr>
          <w:rFonts w:ascii="Arial" w:hAnsi="Arial" w:cs="Arial"/>
          <w:sz w:val="24"/>
          <w:szCs w:val="24"/>
        </w:rPr>
        <w:t>annual implementation reports (</w:t>
      </w:r>
      <w:r>
        <w:rPr>
          <w:rFonts w:ascii="Arial" w:hAnsi="Arial" w:cs="Arial"/>
          <w:sz w:val="24"/>
          <w:szCs w:val="24"/>
        </w:rPr>
        <w:t>AIR</w:t>
      </w:r>
      <w:r w:rsidR="00525548">
        <w:rPr>
          <w:rFonts w:ascii="Arial" w:hAnsi="Arial" w:cs="Arial"/>
          <w:sz w:val="24"/>
          <w:szCs w:val="24"/>
        </w:rPr>
        <w:t>)</w:t>
      </w:r>
      <w:r>
        <w:rPr>
          <w:rFonts w:ascii="Arial" w:hAnsi="Arial" w:cs="Arial"/>
          <w:sz w:val="24"/>
          <w:szCs w:val="24"/>
        </w:rPr>
        <w:t xml:space="preserve"> as annex</w:t>
      </w:r>
      <w:r w:rsidR="00525548">
        <w:rPr>
          <w:rFonts w:ascii="Arial" w:hAnsi="Arial" w:cs="Arial"/>
          <w:sz w:val="24"/>
          <w:szCs w:val="24"/>
        </w:rPr>
        <w:t>es</w:t>
      </w:r>
      <w:r w:rsidR="004461CF">
        <w:rPr>
          <w:rFonts w:ascii="Arial" w:hAnsi="Arial" w:cs="Arial"/>
          <w:sz w:val="24"/>
          <w:szCs w:val="24"/>
        </w:rPr>
        <w:t xml:space="preserve"> (</w:t>
      </w:r>
      <w:r w:rsidR="00525548">
        <w:rPr>
          <w:rFonts w:ascii="Arial" w:hAnsi="Arial" w:cs="Arial"/>
          <w:sz w:val="24"/>
          <w:szCs w:val="24"/>
        </w:rPr>
        <w:t xml:space="preserve">e.g. </w:t>
      </w:r>
      <w:r w:rsidR="004461CF">
        <w:rPr>
          <w:rFonts w:ascii="Arial" w:hAnsi="Arial" w:cs="Arial"/>
          <w:sz w:val="24"/>
          <w:szCs w:val="24"/>
        </w:rPr>
        <w:t>for RS-ME) or will be included in the c</w:t>
      </w:r>
      <w:r w:rsidR="00D440AE">
        <w:rPr>
          <w:rFonts w:ascii="Arial" w:hAnsi="Arial" w:cs="Arial"/>
          <w:sz w:val="24"/>
          <w:szCs w:val="24"/>
        </w:rPr>
        <w:t>oming AIR</w:t>
      </w:r>
      <w:r w:rsidR="00652508">
        <w:rPr>
          <w:rFonts w:ascii="Arial" w:hAnsi="Arial" w:cs="Arial"/>
          <w:sz w:val="24"/>
          <w:szCs w:val="24"/>
        </w:rPr>
        <w:t>s</w:t>
      </w:r>
      <w:r w:rsidR="00D440AE">
        <w:rPr>
          <w:rFonts w:ascii="Arial" w:hAnsi="Arial" w:cs="Arial"/>
          <w:sz w:val="24"/>
          <w:szCs w:val="24"/>
        </w:rPr>
        <w:t xml:space="preserve"> for those programmes </w:t>
      </w:r>
      <w:r w:rsidR="004461CF">
        <w:rPr>
          <w:rFonts w:ascii="Arial" w:hAnsi="Arial" w:cs="Arial"/>
          <w:sz w:val="24"/>
          <w:szCs w:val="24"/>
        </w:rPr>
        <w:t>where the analysis has been completed</w:t>
      </w:r>
      <w:r>
        <w:rPr>
          <w:rFonts w:ascii="Arial" w:hAnsi="Arial" w:cs="Arial"/>
          <w:sz w:val="24"/>
          <w:szCs w:val="24"/>
        </w:rPr>
        <w:t>.</w:t>
      </w:r>
    </w:p>
    <w:p w14:paraId="13F39046" w14:textId="56576E3E" w:rsidR="008D1598" w:rsidRDefault="00DE20F0">
      <w:pPr>
        <w:spacing w:after="120"/>
        <w:jc w:val="both"/>
        <w:rPr>
          <w:rFonts w:ascii="Arial" w:hAnsi="Arial" w:cs="Arial"/>
          <w:sz w:val="24"/>
          <w:szCs w:val="24"/>
        </w:rPr>
      </w:pPr>
      <w:r w:rsidRPr="00DE20F0">
        <w:rPr>
          <w:rFonts w:ascii="Arial" w:hAnsi="Arial" w:cs="Arial"/>
          <w:sz w:val="24"/>
          <w:szCs w:val="24"/>
        </w:rPr>
        <w:t xml:space="preserve">The TWG will consider the </w:t>
      </w:r>
      <w:r w:rsidR="00525548">
        <w:rPr>
          <w:rFonts w:ascii="Arial" w:hAnsi="Arial" w:cs="Arial"/>
          <w:sz w:val="24"/>
          <w:szCs w:val="24"/>
        </w:rPr>
        <w:t xml:space="preserve">main findings of the </w:t>
      </w:r>
      <w:r w:rsidR="00922958">
        <w:rPr>
          <w:rFonts w:ascii="Arial" w:hAnsi="Arial" w:cs="Arial"/>
          <w:sz w:val="24"/>
          <w:szCs w:val="24"/>
        </w:rPr>
        <w:t xml:space="preserve">already drafted </w:t>
      </w:r>
      <w:r w:rsidRPr="00DE20F0">
        <w:rPr>
          <w:rFonts w:ascii="Arial" w:hAnsi="Arial" w:cs="Arial"/>
          <w:sz w:val="24"/>
          <w:szCs w:val="24"/>
        </w:rPr>
        <w:t>analyses made by the CBIB+</w:t>
      </w:r>
      <w:proofErr w:type="gramStart"/>
      <w:r w:rsidRPr="00DE20F0">
        <w:rPr>
          <w:rFonts w:ascii="Arial" w:hAnsi="Arial" w:cs="Arial"/>
          <w:sz w:val="24"/>
          <w:szCs w:val="24"/>
        </w:rPr>
        <w:t>2 team</w:t>
      </w:r>
      <w:proofErr w:type="gramEnd"/>
      <w:r w:rsidRPr="00DE20F0">
        <w:rPr>
          <w:rFonts w:ascii="Arial" w:hAnsi="Arial" w:cs="Arial"/>
          <w:sz w:val="24"/>
          <w:szCs w:val="24"/>
        </w:rPr>
        <w:t xml:space="preserve"> and will draw lessons regarding different aspects of the programmes, as well as the survey methodology. </w:t>
      </w:r>
    </w:p>
    <w:p w14:paraId="01F29A63" w14:textId="58E429EA" w:rsidR="008D1598" w:rsidRPr="00525548" w:rsidRDefault="00DE20F0">
      <w:pPr>
        <w:spacing w:after="120"/>
        <w:jc w:val="both"/>
        <w:rPr>
          <w:rFonts w:ascii="Arial" w:hAnsi="Arial" w:cs="Arial"/>
          <w:i/>
          <w:sz w:val="24"/>
          <w:szCs w:val="24"/>
        </w:rPr>
      </w:pPr>
      <w:r w:rsidRPr="00525548">
        <w:rPr>
          <w:rFonts w:ascii="Arial" w:hAnsi="Arial" w:cs="Arial"/>
          <w:b/>
          <w:i/>
          <w:sz w:val="24"/>
          <w:szCs w:val="24"/>
        </w:rPr>
        <w:t>Monitoring system</w:t>
      </w:r>
    </w:p>
    <w:p w14:paraId="531969FB" w14:textId="2BE6E671" w:rsidR="008D1598" w:rsidRPr="00525548" w:rsidRDefault="00DE20F0">
      <w:pPr>
        <w:spacing w:after="120"/>
        <w:jc w:val="both"/>
        <w:rPr>
          <w:rFonts w:ascii="Arial" w:hAnsi="Arial" w:cs="Arial"/>
          <w:sz w:val="24"/>
          <w:szCs w:val="24"/>
        </w:rPr>
      </w:pPr>
      <w:r w:rsidRPr="00525548">
        <w:rPr>
          <w:rFonts w:ascii="Arial" w:hAnsi="Arial" w:cs="Arial"/>
          <w:sz w:val="24"/>
          <w:szCs w:val="24"/>
        </w:rPr>
        <w:t>The need for a more systematic approach to monitoring was emphasised in the conclusions of the evaluation of the IPA I CBC programmes. The CBIB+2 team has, accordingly, developed a full set of indicators for each of the IPA II CBC Programmes (</w:t>
      </w:r>
      <w:r w:rsidR="0021108D">
        <w:rPr>
          <w:rFonts w:ascii="Arial" w:hAnsi="Arial" w:cs="Arial"/>
          <w:sz w:val="24"/>
          <w:szCs w:val="24"/>
        </w:rPr>
        <w:t xml:space="preserve">please see the annex 1.3 of </w:t>
      </w:r>
      <w:r w:rsidR="0021108D">
        <w:rPr>
          <w:rFonts w:ascii="Arial" w:hAnsi="Arial" w:cs="Arial"/>
          <w:b/>
          <w:sz w:val="24"/>
          <w:szCs w:val="24"/>
        </w:rPr>
        <w:t>Annex 1</w:t>
      </w:r>
      <w:r w:rsidRPr="00525548">
        <w:rPr>
          <w:rFonts w:ascii="Arial" w:hAnsi="Arial" w:cs="Arial"/>
          <w:sz w:val="24"/>
          <w:szCs w:val="24"/>
        </w:rPr>
        <w:t xml:space="preserve">), incorporating </w:t>
      </w:r>
      <w:r w:rsidR="00525548" w:rsidRPr="00525548">
        <w:rPr>
          <w:rFonts w:ascii="Arial" w:hAnsi="Arial" w:cs="Arial"/>
          <w:sz w:val="24"/>
          <w:szCs w:val="24"/>
        </w:rPr>
        <w:t xml:space="preserve">the indicators which </w:t>
      </w:r>
      <w:r w:rsidR="00525548">
        <w:rPr>
          <w:rFonts w:ascii="Arial" w:hAnsi="Arial" w:cs="Arial"/>
          <w:sz w:val="24"/>
          <w:szCs w:val="24"/>
        </w:rPr>
        <w:t>were</w:t>
      </w:r>
      <w:r w:rsidR="00525548" w:rsidRPr="00525548">
        <w:rPr>
          <w:rFonts w:ascii="Arial" w:hAnsi="Arial" w:cs="Arial"/>
          <w:sz w:val="24"/>
          <w:szCs w:val="24"/>
        </w:rPr>
        <w:t xml:space="preserve"> already included in the adopted programmes </w:t>
      </w:r>
      <w:r w:rsidRPr="00525548">
        <w:rPr>
          <w:rFonts w:ascii="Arial" w:hAnsi="Arial" w:cs="Arial"/>
          <w:sz w:val="24"/>
          <w:szCs w:val="24"/>
        </w:rPr>
        <w:t>and adding to</w:t>
      </w:r>
      <w:r w:rsidR="00525548">
        <w:rPr>
          <w:rFonts w:ascii="Arial" w:hAnsi="Arial" w:cs="Arial"/>
          <w:sz w:val="24"/>
          <w:szCs w:val="24"/>
        </w:rPr>
        <w:t xml:space="preserve"> them many more.</w:t>
      </w:r>
      <w:r w:rsidRPr="00525548">
        <w:rPr>
          <w:rFonts w:ascii="Arial" w:hAnsi="Arial" w:cs="Arial"/>
          <w:sz w:val="24"/>
          <w:szCs w:val="24"/>
        </w:rPr>
        <w:t xml:space="preserve"> </w:t>
      </w:r>
    </w:p>
    <w:p w14:paraId="1103ADDC" w14:textId="77777777" w:rsidR="008D1598" w:rsidRPr="00525548" w:rsidRDefault="00DE20F0">
      <w:pPr>
        <w:spacing w:after="120"/>
        <w:jc w:val="both"/>
        <w:rPr>
          <w:rFonts w:ascii="Arial" w:hAnsi="Arial" w:cs="Arial"/>
          <w:sz w:val="24"/>
          <w:szCs w:val="24"/>
        </w:rPr>
      </w:pPr>
      <w:r w:rsidRPr="00525548">
        <w:rPr>
          <w:rFonts w:ascii="Arial" w:hAnsi="Arial" w:cs="Arial"/>
          <w:sz w:val="24"/>
          <w:szCs w:val="24"/>
        </w:rPr>
        <w:t>For each specific objective of each programme there are now five sub-sets of indicators:</w:t>
      </w:r>
    </w:p>
    <w:p w14:paraId="55319C13" w14:textId="77777777" w:rsidR="008D1598" w:rsidRPr="00525548" w:rsidRDefault="00DE20F0">
      <w:pPr>
        <w:pStyle w:val="ListParagraph"/>
        <w:numPr>
          <w:ilvl w:val="0"/>
          <w:numId w:val="30"/>
        </w:numPr>
        <w:spacing w:after="120"/>
        <w:jc w:val="both"/>
        <w:rPr>
          <w:rFonts w:ascii="Arial" w:hAnsi="Arial" w:cs="Arial"/>
          <w:sz w:val="24"/>
          <w:szCs w:val="24"/>
        </w:rPr>
      </w:pPr>
      <w:r w:rsidRPr="00525548">
        <w:rPr>
          <w:rFonts w:ascii="Arial" w:hAnsi="Arial" w:cs="Arial"/>
          <w:sz w:val="24"/>
          <w:szCs w:val="24"/>
        </w:rPr>
        <w:t>General output indicators</w:t>
      </w:r>
    </w:p>
    <w:p w14:paraId="6B3D65DB" w14:textId="77777777" w:rsidR="008D1598" w:rsidRPr="00525548" w:rsidRDefault="00DE20F0">
      <w:pPr>
        <w:pStyle w:val="ListParagraph"/>
        <w:numPr>
          <w:ilvl w:val="0"/>
          <w:numId w:val="30"/>
        </w:numPr>
        <w:spacing w:after="120"/>
        <w:jc w:val="both"/>
        <w:rPr>
          <w:rFonts w:ascii="Arial" w:hAnsi="Arial" w:cs="Arial"/>
          <w:sz w:val="24"/>
          <w:szCs w:val="24"/>
        </w:rPr>
      </w:pPr>
      <w:r w:rsidRPr="00525548">
        <w:rPr>
          <w:rFonts w:ascii="Arial" w:hAnsi="Arial" w:cs="Arial"/>
          <w:sz w:val="24"/>
          <w:szCs w:val="24"/>
        </w:rPr>
        <w:t>General impact indicators</w:t>
      </w:r>
    </w:p>
    <w:p w14:paraId="2D798469" w14:textId="77777777" w:rsidR="008D1598" w:rsidRPr="00525548" w:rsidRDefault="00DE20F0">
      <w:pPr>
        <w:pStyle w:val="ListParagraph"/>
        <w:numPr>
          <w:ilvl w:val="0"/>
          <w:numId w:val="30"/>
        </w:numPr>
        <w:spacing w:after="120"/>
        <w:jc w:val="both"/>
        <w:rPr>
          <w:rFonts w:ascii="Arial" w:hAnsi="Arial" w:cs="Arial"/>
          <w:sz w:val="24"/>
          <w:szCs w:val="24"/>
        </w:rPr>
      </w:pPr>
      <w:r w:rsidRPr="00525548">
        <w:rPr>
          <w:rFonts w:ascii="Arial" w:hAnsi="Arial" w:cs="Arial"/>
          <w:sz w:val="24"/>
          <w:szCs w:val="24"/>
        </w:rPr>
        <w:t>(Specific) output indicators</w:t>
      </w:r>
    </w:p>
    <w:p w14:paraId="29D981BE" w14:textId="77777777" w:rsidR="008D1598" w:rsidRPr="00525548" w:rsidRDefault="00DE20F0">
      <w:pPr>
        <w:pStyle w:val="ListParagraph"/>
        <w:numPr>
          <w:ilvl w:val="0"/>
          <w:numId w:val="30"/>
        </w:numPr>
        <w:spacing w:after="120"/>
        <w:jc w:val="both"/>
        <w:rPr>
          <w:rFonts w:ascii="Arial" w:hAnsi="Arial" w:cs="Arial"/>
          <w:sz w:val="24"/>
          <w:szCs w:val="24"/>
        </w:rPr>
      </w:pPr>
      <w:r w:rsidRPr="00525548">
        <w:rPr>
          <w:rFonts w:ascii="Arial" w:hAnsi="Arial" w:cs="Arial"/>
          <w:sz w:val="24"/>
          <w:szCs w:val="24"/>
        </w:rPr>
        <w:t>(Specific) outcome or result indicators</w:t>
      </w:r>
    </w:p>
    <w:p w14:paraId="18532873" w14:textId="456BA931" w:rsidR="008D1598" w:rsidRPr="00525548" w:rsidRDefault="00DE20F0">
      <w:pPr>
        <w:pStyle w:val="ListParagraph"/>
        <w:numPr>
          <w:ilvl w:val="0"/>
          <w:numId w:val="30"/>
        </w:numPr>
        <w:spacing w:after="120"/>
        <w:jc w:val="both"/>
        <w:rPr>
          <w:rFonts w:ascii="Arial" w:hAnsi="Arial" w:cs="Arial"/>
          <w:sz w:val="24"/>
          <w:szCs w:val="24"/>
        </w:rPr>
      </w:pPr>
      <w:r w:rsidRPr="00525548">
        <w:rPr>
          <w:rFonts w:ascii="Arial" w:hAnsi="Arial" w:cs="Arial"/>
          <w:sz w:val="24"/>
          <w:szCs w:val="24"/>
        </w:rPr>
        <w:t>(</w:t>
      </w:r>
      <w:r w:rsidR="00525548">
        <w:rPr>
          <w:rFonts w:ascii="Arial" w:hAnsi="Arial" w:cs="Arial"/>
          <w:sz w:val="24"/>
          <w:szCs w:val="24"/>
        </w:rPr>
        <w:t>S</w:t>
      </w:r>
      <w:r w:rsidRPr="00525548">
        <w:rPr>
          <w:rFonts w:ascii="Arial" w:hAnsi="Arial" w:cs="Arial"/>
          <w:sz w:val="24"/>
          <w:szCs w:val="24"/>
        </w:rPr>
        <w:t>pecific) impact indicators</w:t>
      </w:r>
    </w:p>
    <w:p w14:paraId="49436FC3" w14:textId="20CFD9F1" w:rsidR="008D1598" w:rsidRPr="00525548" w:rsidRDefault="00DE20F0">
      <w:pPr>
        <w:spacing w:after="120"/>
        <w:jc w:val="both"/>
        <w:rPr>
          <w:rFonts w:ascii="Arial" w:hAnsi="Arial" w:cs="Arial"/>
          <w:sz w:val="24"/>
          <w:szCs w:val="24"/>
        </w:rPr>
      </w:pPr>
      <w:r w:rsidRPr="00525548">
        <w:rPr>
          <w:rFonts w:ascii="Arial" w:hAnsi="Arial" w:cs="Arial"/>
          <w:sz w:val="24"/>
          <w:szCs w:val="24"/>
        </w:rPr>
        <w:t>The monitoring system</w:t>
      </w:r>
      <w:r w:rsidR="00922958">
        <w:rPr>
          <w:rFonts w:ascii="Arial" w:hAnsi="Arial" w:cs="Arial"/>
          <w:sz w:val="24"/>
          <w:szCs w:val="24"/>
        </w:rPr>
        <w:t xml:space="preserve">, whose overall presentation is illustrated in </w:t>
      </w:r>
      <w:r w:rsidR="0021108D">
        <w:rPr>
          <w:rFonts w:ascii="Arial" w:hAnsi="Arial" w:cs="Arial"/>
          <w:b/>
          <w:sz w:val="24"/>
          <w:szCs w:val="24"/>
        </w:rPr>
        <w:t>Annex 6</w:t>
      </w:r>
      <w:r w:rsidR="00922958">
        <w:rPr>
          <w:rFonts w:ascii="Arial" w:hAnsi="Arial" w:cs="Arial"/>
          <w:sz w:val="24"/>
          <w:szCs w:val="24"/>
        </w:rPr>
        <w:t>,</w:t>
      </w:r>
      <w:r w:rsidRPr="00525548">
        <w:rPr>
          <w:rFonts w:ascii="Arial" w:hAnsi="Arial" w:cs="Arial"/>
          <w:sz w:val="24"/>
          <w:szCs w:val="24"/>
        </w:rPr>
        <w:t xml:space="preserve"> includes aggregated indicators</w:t>
      </w:r>
      <w:r w:rsidR="00922958">
        <w:rPr>
          <w:rFonts w:ascii="Arial" w:hAnsi="Arial" w:cs="Arial"/>
          <w:sz w:val="24"/>
          <w:szCs w:val="24"/>
        </w:rPr>
        <w:t>.</w:t>
      </w:r>
      <w:r w:rsidRPr="00525548">
        <w:rPr>
          <w:rFonts w:ascii="Arial" w:hAnsi="Arial" w:cs="Arial"/>
          <w:sz w:val="24"/>
          <w:szCs w:val="24"/>
        </w:rPr>
        <w:t xml:space="preserve"> </w:t>
      </w:r>
    </w:p>
    <w:p w14:paraId="3B235738" w14:textId="79638EE5" w:rsidR="008D1598" w:rsidRPr="00922958" w:rsidRDefault="00DE20F0">
      <w:pPr>
        <w:spacing w:after="120"/>
        <w:jc w:val="both"/>
        <w:rPr>
          <w:rFonts w:ascii="Arial" w:hAnsi="Arial" w:cs="Arial"/>
          <w:sz w:val="24"/>
          <w:szCs w:val="24"/>
        </w:rPr>
      </w:pPr>
      <w:r w:rsidRPr="00922958">
        <w:rPr>
          <w:rFonts w:ascii="Arial" w:hAnsi="Arial" w:cs="Arial"/>
          <w:sz w:val="24"/>
          <w:szCs w:val="24"/>
        </w:rPr>
        <w:t xml:space="preserve">The CBIB+2 team </w:t>
      </w:r>
      <w:proofErr w:type="gramStart"/>
      <w:r w:rsidRPr="00922958">
        <w:rPr>
          <w:rFonts w:ascii="Arial" w:hAnsi="Arial" w:cs="Arial"/>
          <w:sz w:val="24"/>
          <w:szCs w:val="24"/>
        </w:rPr>
        <w:t>has</w:t>
      </w:r>
      <w:proofErr w:type="gramEnd"/>
      <w:r w:rsidRPr="00922958">
        <w:rPr>
          <w:rFonts w:ascii="Arial" w:hAnsi="Arial" w:cs="Arial"/>
          <w:sz w:val="24"/>
          <w:szCs w:val="24"/>
        </w:rPr>
        <w:t xml:space="preserve"> been working closely with the DEUs and the relevant OSs/JTSs in order to implement this monitoring system in the MK-</w:t>
      </w:r>
      <w:r w:rsidR="004461CF" w:rsidRPr="00922958">
        <w:rPr>
          <w:rFonts w:ascii="Arial" w:hAnsi="Arial" w:cs="Arial"/>
          <w:sz w:val="24"/>
          <w:szCs w:val="24"/>
        </w:rPr>
        <w:t>AL</w:t>
      </w:r>
      <w:r w:rsidRPr="00922958">
        <w:rPr>
          <w:rFonts w:ascii="Arial" w:hAnsi="Arial" w:cs="Arial"/>
          <w:sz w:val="24"/>
          <w:szCs w:val="24"/>
        </w:rPr>
        <w:t xml:space="preserve"> and MNE-AL programmes in the coming months.</w:t>
      </w:r>
      <w:r w:rsidR="00342E98" w:rsidRPr="00922958">
        <w:rPr>
          <w:rFonts w:ascii="Arial" w:hAnsi="Arial" w:cs="Arial"/>
          <w:sz w:val="24"/>
          <w:szCs w:val="24"/>
        </w:rPr>
        <w:t xml:space="preserve"> Both programmes benefitted from special tailor</w:t>
      </w:r>
      <w:r w:rsidR="00922958" w:rsidRPr="00922958">
        <w:rPr>
          <w:rFonts w:ascii="Arial" w:hAnsi="Arial" w:cs="Arial"/>
          <w:sz w:val="24"/>
          <w:szCs w:val="24"/>
        </w:rPr>
        <w:t>-</w:t>
      </w:r>
      <w:r w:rsidR="00342E98" w:rsidRPr="00922958">
        <w:rPr>
          <w:rFonts w:ascii="Arial" w:hAnsi="Arial" w:cs="Arial"/>
          <w:sz w:val="24"/>
          <w:szCs w:val="24"/>
        </w:rPr>
        <w:t>made capacity building events, targeting the respective assessors and/or evaluators per programme.</w:t>
      </w:r>
    </w:p>
    <w:p w14:paraId="55D5CED7" w14:textId="77777777" w:rsidR="008D1598" w:rsidRPr="00790F9C" w:rsidRDefault="00DE20F0">
      <w:pPr>
        <w:spacing w:after="120"/>
        <w:jc w:val="both"/>
        <w:rPr>
          <w:rFonts w:ascii="Arial" w:hAnsi="Arial" w:cs="Arial"/>
          <w:sz w:val="24"/>
          <w:szCs w:val="24"/>
        </w:rPr>
      </w:pPr>
      <w:r w:rsidRPr="00790F9C">
        <w:rPr>
          <w:rFonts w:ascii="Arial" w:hAnsi="Arial" w:cs="Arial"/>
          <w:sz w:val="24"/>
          <w:szCs w:val="24"/>
        </w:rPr>
        <w:t>The TWG will discuss the state of play and will explore practical solutions to any outstanding implementation issues.</w:t>
      </w:r>
    </w:p>
    <w:p w14:paraId="066D0399" w14:textId="77777777" w:rsidR="008D1598" w:rsidRDefault="00DE20F0">
      <w:pPr>
        <w:spacing w:after="120"/>
        <w:jc w:val="both"/>
        <w:rPr>
          <w:rFonts w:ascii="Arial" w:hAnsi="Arial" w:cs="Arial"/>
          <w:b/>
          <w:i/>
          <w:sz w:val="24"/>
          <w:szCs w:val="24"/>
        </w:rPr>
      </w:pPr>
      <w:r>
        <w:rPr>
          <w:rFonts w:ascii="Arial" w:hAnsi="Arial" w:cs="Arial"/>
          <w:b/>
          <w:i/>
          <w:sz w:val="24"/>
          <w:szCs w:val="24"/>
        </w:rPr>
        <w:t>Revised AIR and Final Report templates</w:t>
      </w:r>
    </w:p>
    <w:p w14:paraId="1F2FB0DE" w14:textId="6A108CDB" w:rsidR="008D1598" w:rsidRDefault="00DE20F0">
      <w:pPr>
        <w:spacing w:after="120"/>
        <w:jc w:val="both"/>
        <w:rPr>
          <w:rFonts w:ascii="Arial" w:eastAsia="Times New Roman" w:hAnsi="Arial" w:cs="Arial"/>
          <w:sz w:val="24"/>
          <w:szCs w:val="24"/>
          <w:lang w:eastAsia="en-GB"/>
        </w:rPr>
      </w:pPr>
      <w:r w:rsidRPr="00DE20F0">
        <w:rPr>
          <w:rFonts w:ascii="Arial" w:eastAsia="Times New Roman" w:hAnsi="Arial" w:cs="Arial"/>
          <w:sz w:val="24"/>
          <w:szCs w:val="24"/>
          <w:lang w:eastAsia="en-GB"/>
        </w:rPr>
        <w:lastRenderedPageBreak/>
        <w:t xml:space="preserve">It should be noted that the CBIB+2 team </w:t>
      </w:r>
      <w:r w:rsidR="006B4838">
        <w:rPr>
          <w:rFonts w:ascii="Arial" w:eastAsia="Times New Roman" w:hAnsi="Arial" w:cs="Arial"/>
          <w:sz w:val="24"/>
          <w:szCs w:val="24"/>
          <w:lang w:eastAsia="en-GB"/>
        </w:rPr>
        <w:t>has worked</w:t>
      </w:r>
      <w:r w:rsidRPr="00DE20F0">
        <w:rPr>
          <w:rFonts w:ascii="Arial" w:eastAsia="Times New Roman" w:hAnsi="Arial" w:cs="Arial"/>
          <w:sz w:val="24"/>
          <w:szCs w:val="24"/>
          <w:lang w:eastAsia="en-GB"/>
        </w:rPr>
        <w:t xml:space="preserve"> on </w:t>
      </w:r>
      <w:r w:rsidR="006B4838">
        <w:rPr>
          <w:rFonts w:ascii="Arial" w:eastAsia="Times New Roman" w:hAnsi="Arial" w:cs="Arial"/>
          <w:sz w:val="24"/>
          <w:szCs w:val="24"/>
          <w:lang w:eastAsia="en-GB"/>
        </w:rPr>
        <w:t>a</w:t>
      </w:r>
      <w:r w:rsidRPr="00DE20F0">
        <w:rPr>
          <w:rFonts w:ascii="Arial" w:eastAsia="Times New Roman" w:hAnsi="Arial" w:cs="Arial"/>
          <w:sz w:val="24"/>
          <w:szCs w:val="24"/>
          <w:lang w:eastAsia="en-GB"/>
        </w:rPr>
        <w:t xml:space="preserve"> revised template of the Annual Implementation Report (AIR) report as well as </w:t>
      </w:r>
      <w:r w:rsidR="006B4838">
        <w:rPr>
          <w:rFonts w:ascii="Arial" w:eastAsia="Times New Roman" w:hAnsi="Arial" w:cs="Arial"/>
          <w:sz w:val="24"/>
          <w:szCs w:val="24"/>
          <w:lang w:eastAsia="en-GB"/>
        </w:rPr>
        <w:t>a</w:t>
      </w:r>
      <w:r w:rsidRPr="00DE20F0">
        <w:rPr>
          <w:rFonts w:ascii="Arial" w:eastAsia="Times New Roman" w:hAnsi="Arial" w:cs="Arial"/>
          <w:sz w:val="24"/>
          <w:szCs w:val="24"/>
          <w:lang w:eastAsia="en-GB"/>
        </w:rPr>
        <w:t xml:space="preserve"> revised Final Report </w:t>
      </w:r>
      <w:r w:rsidR="006B4838">
        <w:rPr>
          <w:rFonts w:ascii="Arial" w:eastAsia="Times New Roman" w:hAnsi="Arial" w:cs="Arial"/>
          <w:sz w:val="24"/>
          <w:szCs w:val="24"/>
          <w:lang w:eastAsia="en-GB"/>
        </w:rPr>
        <w:t xml:space="preserve">for grant contracts </w:t>
      </w:r>
      <w:r w:rsidRPr="00DE20F0">
        <w:rPr>
          <w:rFonts w:ascii="Arial" w:eastAsia="Times New Roman" w:hAnsi="Arial" w:cs="Arial"/>
          <w:sz w:val="24"/>
          <w:szCs w:val="24"/>
          <w:lang w:eastAsia="en-GB"/>
        </w:rPr>
        <w:t xml:space="preserve">that the new grant beneficiaries have to follow. Both revisions are aimed at improving the monitoring and the collection of data and at assisting any future evaluations. </w:t>
      </w:r>
    </w:p>
    <w:p w14:paraId="03A0F58A" w14:textId="77777777" w:rsidR="008D1598" w:rsidRDefault="00DE20F0">
      <w:pPr>
        <w:spacing w:after="120"/>
        <w:jc w:val="both"/>
        <w:rPr>
          <w:rFonts w:ascii="Arial" w:eastAsia="Times New Roman" w:hAnsi="Arial" w:cs="Arial"/>
          <w:sz w:val="24"/>
          <w:szCs w:val="24"/>
          <w:lang w:eastAsia="en-GB"/>
        </w:rPr>
      </w:pPr>
      <w:r w:rsidRPr="00DE20F0">
        <w:rPr>
          <w:rFonts w:ascii="Arial" w:eastAsia="Times New Roman" w:hAnsi="Arial" w:cs="Arial"/>
          <w:sz w:val="24"/>
          <w:szCs w:val="24"/>
          <w:lang w:eastAsia="en-GB"/>
        </w:rPr>
        <w:t>DG NEAR has already circulated the proposed AIR template to the DEUs and has received and considered their responses. A formal communication to the CAs on this matter is expected shortly from the Commission HQ.</w:t>
      </w:r>
    </w:p>
    <w:p w14:paraId="50F86E26" w14:textId="77777777" w:rsidR="008D1598" w:rsidRDefault="00DE20F0">
      <w:pPr>
        <w:spacing w:after="120"/>
        <w:jc w:val="both"/>
        <w:rPr>
          <w:rFonts w:ascii="Arial" w:eastAsia="Times New Roman" w:hAnsi="Arial" w:cs="Arial"/>
          <w:sz w:val="24"/>
          <w:szCs w:val="24"/>
          <w:lang w:eastAsia="en-GB"/>
        </w:rPr>
      </w:pPr>
      <w:r w:rsidRPr="00DE20F0">
        <w:rPr>
          <w:rFonts w:ascii="Arial" w:eastAsia="Times New Roman" w:hAnsi="Arial" w:cs="Arial"/>
          <w:sz w:val="24"/>
          <w:szCs w:val="24"/>
          <w:lang w:eastAsia="en-GB"/>
        </w:rPr>
        <w:t>The revised Final Report template is still under consideration by DG NEAR.</w:t>
      </w:r>
    </w:p>
    <w:p w14:paraId="65A6786D" w14:textId="1ABF952A" w:rsidR="008D1598" w:rsidRDefault="00DE20F0">
      <w:pPr>
        <w:spacing w:after="120"/>
        <w:jc w:val="both"/>
        <w:rPr>
          <w:rFonts w:ascii="Arial" w:eastAsia="Times New Roman" w:hAnsi="Arial" w:cs="Arial"/>
          <w:sz w:val="24"/>
          <w:szCs w:val="24"/>
          <w:lang w:eastAsia="en-GB"/>
        </w:rPr>
      </w:pPr>
      <w:r w:rsidRPr="00DE20F0">
        <w:rPr>
          <w:rFonts w:ascii="Arial" w:hAnsi="Arial" w:cs="Arial"/>
          <w:sz w:val="24"/>
          <w:szCs w:val="24"/>
        </w:rPr>
        <w:t xml:space="preserve">The TWG members will discuss the revised templates, which are in </w:t>
      </w:r>
      <w:r w:rsidRPr="00DE20F0">
        <w:rPr>
          <w:rFonts w:ascii="Arial" w:hAnsi="Arial" w:cs="Arial"/>
          <w:b/>
          <w:sz w:val="24"/>
          <w:szCs w:val="24"/>
        </w:rPr>
        <w:t xml:space="preserve">Annexes </w:t>
      </w:r>
      <w:r w:rsidR="002947C4">
        <w:rPr>
          <w:rFonts w:ascii="Arial" w:hAnsi="Arial" w:cs="Arial"/>
          <w:b/>
          <w:sz w:val="24"/>
          <w:szCs w:val="24"/>
        </w:rPr>
        <w:t>7</w:t>
      </w:r>
      <w:r w:rsidRPr="00DE20F0">
        <w:rPr>
          <w:rFonts w:ascii="Arial" w:hAnsi="Arial" w:cs="Arial"/>
          <w:b/>
          <w:sz w:val="24"/>
          <w:szCs w:val="24"/>
        </w:rPr>
        <w:t xml:space="preserve"> and </w:t>
      </w:r>
      <w:r w:rsidR="002947C4">
        <w:rPr>
          <w:rFonts w:ascii="Arial" w:hAnsi="Arial" w:cs="Arial"/>
          <w:b/>
          <w:sz w:val="24"/>
          <w:szCs w:val="24"/>
        </w:rPr>
        <w:t>8</w:t>
      </w:r>
      <w:r w:rsidRPr="00DE20F0">
        <w:rPr>
          <w:rFonts w:ascii="Arial" w:hAnsi="Arial" w:cs="Arial"/>
          <w:b/>
          <w:sz w:val="24"/>
          <w:szCs w:val="24"/>
        </w:rPr>
        <w:t xml:space="preserve">, </w:t>
      </w:r>
      <w:r w:rsidRPr="00DE20F0">
        <w:rPr>
          <w:rFonts w:ascii="Arial" w:hAnsi="Arial" w:cs="Arial"/>
          <w:sz w:val="24"/>
          <w:szCs w:val="24"/>
        </w:rPr>
        <w:t>and will give their feedback on the revised Final Report</w:t>
      </w:r>
      <w:r w:rsidR="00342E98">
        <w:rPr>
          <w:rFonts w:ascii="Arial" w:hAnsi="Arial" w:cs="Arial"/>
          <w:sz w:val="24"/>
          <w:szCs w:val="24"/>
        </w:rPr>
        <w:t xml:space="preserve"> template</w:t>
      </w:r>
      <w:r w:rsidRPr="00DE20F0">
        <w:rPr>
          <w:rFonts w:ascii="Arial" w:hAnsi="Arial" w:cs="Arial"/>
          <w:sz w:val="24"/>
          <w:szCs w:val="24"/>
        </w:rPr>
        <w:t>.</w:t>
      </w:r>
    </w:p>
    <w:p w14:paraId="3E66D885" w14:textId="77777777" w:rsidR="008D1598" w:rsidRDefault="00DE20F0">
      <w:pPr>
        <w:spacing w:after="120"/>
        <w:jc w:val="both"/>
        <w:rPr>
          <w:rFonts w:ascii="Arial" w:hAnsi="Arial" w:cs="Arial"/>
          <w:b/>
          <w:i/>
          <w:sz w:val="24"/>
          <w:szCs w:val="24"/>
        </w:rPr>
      </w:pPr>
      <w:r>
        <w:rPr>
          <w:rFonts w:ascii="Arial" w:hAnsi="Arial" w:cs="Arial"/>
          <w:b/>
          <w:i/>
          <w:sz w:val="24"/>
          <w:szCs w:val="24"/>
        </w:rPr>
        <w:t xml:space="preserve">CBC programme-level and IPA-wide reporting </w:t>
      </w:r>
    </w:p>
    <w:p w14:paraId="0A8D47E0" w14:textId="1086E2DF" w:rsidR="008D1598" w:rsidRDefault="00DE20F0">
      <w:pPr>
        <w:spacing w:after="120"/>
        <w:jc w:val="both"/>
        <w:rPr>
          <w:rFonts w:ascii="Arial" w:hAnsi="Arial" w:cs="Arial"/>
          <w:sz w:val="24"/>
          <w:szCs w:val="24"/>
        </w:rPr>
      </w:pPr>
      <w:r>
        <w:rPr>
          <w:rFonts w:ascii="Arial" w:hAnsi="Arial" w:cs="Arial"/>
          <w:sz w:val="24"/>
          <w:szCs w:val="24"/>
        </w:rPr>
        <w:t xml:space="preserve">The presentations </w:t>
      </w:r>
      <w:r w:rsidR="006B4838">
        <w:rPr>
          <w:rFonts w:ascii="Arial" w:hAnsi="Arial" w:cs="Arial"/>
          <w:sz w:val="24"/>
          <w:szCs w:val="24"/>
        </w:rPr>
        <w:t>delivered on</w:t>
      </w:r>
      <w:r>
        <w:rPr>
          <w:rFonts w:ascii="Arial" w:hAnsi="Arial" w:cs="Arial"/>
          <w:sz w:val="24"/>
          <w:szCs w:val="24"/>
        </w:rPr>
        <w:t xml:space="preserve"> the implementation of CBC programmes and the ensuing discussions </w:t>
      </w:r>
      <w:r w:rsidR="006B4838">
        <w:rPr>
          <w:rFonts w:ascii="Arial" w:hAnsi="Arial" w:cs="Arial"/>
          <w:sz w:val="24"/>
          <w:szCs w:val="24"/>
        </w:rPr>
        <w:t>during</w:t>
      </w:r>
      <w:r>
        <w:rPr>
          <w:rFonts w:ascii="Arial" w:hAnsi="Arial" w:cs="Arial"/>
          <w:sz w:val="24"/>
          <w:szCs w:val="24"/>
        </w:rPr>
        <w:t xml:space="preserve"> the 4</w:t>
      </w:r>
      <w:r>
        <w:rPr>
          <w:rFonts w:ascii="Arial" w:hAnsi="Arial" w:cs="Arial"/>
          <w:sz w:val="24"/>
          <w:szCs w:val="24"/>
          <w:vertAlign w:val="superscript"/>
        </w:rPr>
        <w:t>th</w:t>
      </w:r>
      <w:r>
        <w:rPr>
          <w:rFonts w:ascii="Arial" w:hAnsi="Arial" w:cs="Arial"/>
          <w:sz w:val="24"/>
          <w:szCs w:val="24"/>
        </w:rPr>
        <w:t xml:space="preserve"> CBC Forum held on 23/24.02.2017 in Belgrade highlighted the importance and usefulness of a more systematic and consistent reporting at CBC programme level, as well as at IPA-CBC level.</w:t>
      </w:r>
    </w:p>
    <w:p w14:paraId="690B22E1" w14:textId="77777777" w:rsidR="008D1598" w:rsidRDefault="00DE20F0">
      <w:pPr>
        <w:spacing w:after="120"/>
        <w:jc w:val="both"/>
        <w:rPr>
          <w:rFonts w:ascii="Arial" w:hAnsi="Arial" w:cs="Arial"/>
          <w:sz w:val="24"/>
          <w:szCs w:val="24"/>
        </w:rPr>
      </w:pPr>
      <w:r>
        <w:rPr>
          <w:rFonts w:ascii="Arial" w:hAnsi="Arial" w:cs="Arial"/>
          <w:sz w:val="24"/>
          <w:szCs w:val="24"/>
        </w:rPr>
        <w:t xml:space="preserve">The CBIB+2 team has accordingly developed a template for programme-level reporting using readily available data sources, such as grant project reports and AIRs, as well as JTS specific inputs. </w:t>
      </w:r>
    </w:p>
    <w:p w14:paraId="6B460F04" w14:textId="77777777" w:rsidR="008D1598" w:rsidRDefault="00DE20F0">
      <w:pPr>
        <w:spacing w:after="120"/>
        <w:jc w:val="both"/>
        <w:rPr>
          <w:rFonts w:ascii="Arial" w:hAnsi="Arial" w:cs="Arial"/>
          <w:sz w:val="24"/>
          <w:szCs w:val="24"/>
        </w:rPr>
      </w:pPr>
      <w:r>
        <w:rPr>
          <w:rFonts w:ascii="Arial" w:hAnsi="Arial" w:cs="Arial"/>
          <w:sz w:val="24"/>
          <w:szCs w:val="24"/>
        </w:rPr>
        <w:t>These programme-level reports can be compiled on an ongoing basis but they should be published at least once a year.</w:t>
      </w:r>
    </w:p>
    <w:p w14:paraId="79BB0143" w14:textId="008E9FA8" w:rsidR="008D1598" w:rsidRDefault="00DE20F0">
      <w:pPr>
        <w:spacing w:after="120"/>
        <w:jc w:val="both"/>
        <w:rPr>
          <w:rFonts w:ascii="Arial" w:hAnsi="Arial" w:cs="Arial"/>
          <w:sz w:val="24"/>
          <w:szCs w:val="24"/>
        </w:rPr>
      </w:pPr>
      <w:r>
        <w:rPr>
          <w:rFonts w:ascii="Arial" w:hAnsi="Arial" w:cs="Arial"/>
          <w:sz w:val="24"/>
          <w:szCs w:val="24"/>
        </w:rPr>
        <w:t xml:space="preserve">A further template has been developed for reporting </w:t>
      </w:r>
      <w:r w:rsidR="006B4838">
        <w:rPr>
          <w:rFonts w:ascii="Arial" w:hAnsi="Arial" w:cs="Arial"/>
          <w:sz w:val="24"/>
          <w:szCs w:val="24"/>
        </w:rPr>
        <w:t xml:space="preserve">on CBC </w:t>
      </w:r>
      <w:r>
        <w:rPr>
          <w:rFonts w:ascii="Arial" w:hAnsi="Arial" w:cs="Arial"/>
          <w:sz w:val="24"/>
          <w:szCs w:val="24"/>
        </w:rPr>
        <w:t xml:space="preserve">IPA-wide </w:t>
      </w:r>
      <w:r w:rsidR="006B4838">
        <w:rPr>
          <w:rFonts w:ascii="Arial" w:hAnsi="Arial" w:cs="Arial"/>
          <w:sz w:val="24"/>
          <w:szCs w:val="24"/>
        </w:rPr>
        <w:t>for</w:t>
      </w:r>
      <w:r>
        <w:rPr>
          <w:rFonts w:ascii="Arial" w:hAnsi="Arial" w:cs="Arial"/>
          <w:sz w:val="24"/>
          <w:szCs w:val="24"/>
        </w:rPr>
        <w:t xml:space="preserve"> all programmes. It is based on data obtained from programme-level reporting and further calculations. </w:t>
      </w:r>
    </w:p>
    <w:p w14:paraId="162C6E70" w14:textId="6F75775F" w:rsidR="008D1598" w:rsidRDefault="00572EB8">
      <w:pPr>
        <w:spacing w:after="120"/>
        <w:jc w:val="both"/>
        <w:rPr>
          <w:rFonts w:ascii="Arial" w:hAnsi="Arial" w:cs="Arial"/>
          <w:sz w:val="24"/>
          <w:szCs w:val="24"/>
        </w:rPr>
      </w:pPr>
      <w:r>
        <w:rPr>
          <w:rFonts w:ascii="Arial" w:hAnsi="Arial" w:cs="Arial"/>
          <w:sz w:val="24"/>
          <w:szCs w:val="24"/>
        </w:rPr>
        <w:t>The template</w:t>
      </w:r>
      <w:r w:rsidR="00DE20F0">
        <w:rPr>
          <w:rFonts w:ascii="Arial" w:hAnsi="Arial" w:cs="Arial"/>
          <w:sz w:val="24"/>
          <w:szCs w:val="24"/>
        </w:rPr>
        <w:t xml:space="preserve"> </w:t>
      </w:r>
      <w:r w:rsidR="006B4838">
        <w:rPr>
          <w:rFonts w:ascii="Arial" w:hAnsi="Arial" w:cs="Arial"/>
          <w:sz w:val="24"/>
          <w:szCs w:val="24"/>
        </w:rPr>
        <w:t>consist</w:t>
      </w:r>
      <w:r>
        <w:rPr>
          <w:rFonts w:ascii="Arial" w:hAnsi="Arial" w:cs="Arial"/>
          <w:sz w:val="24"/>
          <w:szCs w:val="24"/>
        </w:rPr>
        <w:t>s</w:t>
      </w:r>
      <w:r w:rsidR="006B4838">
        <w:rPr>
          <w:rFonts w:ascii="Arial" w:hAnsi="Arial" w:cs="Arial"/>
          <w:sz w:val="24"/>
          <w:szCs w:val="24"/>
        </w:rPr>
        <w:t xml:space="preserve"> of</w:t>
      </w:r>
      <w:r w:rsidR="00DE20F0">
        <w:rPr>
          <w:rFonts w:ascii="Arial" w:hAnsi="Arial" w:cs="Arial"/>
          <w:sz w:val="24"/>
          <w:szCs w:val="24"/>
        </w:rPr>
        <w:t xml:space="preserve"> three parts (see </w:t>
      </w:r>
      <w:r w:rsidR="002947C4">
        <w:rPr>
          <w:rFonts w:ascii="Arial" w:hAnsi="Arial" w:cs="Arial"/>
          <w:b/>
          <w:sz w:val="24"/>
          <w:szCs w:val="24"/>
        </w:rPr>
        <w:t>Annex 9</w:t>
      </w:r>
      <w:r w:rsidR="00DE20F0">
        <w:rPr>
          <w:rFonts w:ascii="Arial" w:hAnsi="Arial" w:cs="Arial"/>
          <w:sz w:val="24"/>
          <w:szCs w:val="24"/>
        </w:rPr>
        <w:t xml:space="preserve">): </w:t>
      </w:r>
    </w:p>
    <w:p w14:paraId="41958558" w14:textId="77777777" w:rsidR="008D1598" w:rsidRDefault="00DE20F0">
      <w:pPr>
        <w:pStyle w:val="ListParagraph"/>
        <w:numPr>
          <w:ilvl w:val="0"/>
          <w:numId w:val="28"/>
        </w:numPr>
        <w:spacing w:after="120"/>
        <w:jc w:val="both"/>
        <w:rPr>
          <w:rFonts w:ascii="Arial" w:hAnsi="Arial" w:cs="Arial"/>
          <w:sz w:val="24"/>
          <w:szCs w:val="24"/>
        </w:rPr>
      </w:pPr>
      <w:r>
        <w:rPr>
          <w:rFonts w:ascii="Arial" w:hAnsi="Arial" w:cs="Arial"/>
          <w:sz w:val="24"/>
          <w:szCs w:val="24"/>
        </w:rPr>
        <w:t>Programme inputs and perfor</w:t>
      </w:r>
      <w:bookmarkStart w:id="0" w:name="_GoBack"/>
      <w:bookmarkEnd w:id="0"/>
      <w:r>
        <w:rPr>
          <w:rFonts w:ascii="Arial" w:hAnsi="Arial" w:cs="Arial"/>
          <w:sz w:val="24"/>
          <w:szCs w:val="24"/>
        </w:rPr>
        <w:t>mance</w:t>
      </w:r>
    </w:p>
    <w:p w14:paraId="202965D3" w14:textId="77777777" w:rsidR="008D1598" w:rsidRDefault="00DE20F0">
      <w:pPr>
        <w:pStyle w:val="ListParagraph"/>
        <w:numPr>
          <w:ilvl w:val="0"/>
          <w:numId w:val="28"/>
        </w:numPr>
        <w:spacing w:after="120"/>
        <w:jc w:val="both"/>
        <w:rPr>
          <w:rFonts w:ascii="Arial" w:hAnsi="Arial" w:cs="Arial"/>
          <w:sz w:val="24"/>
          <w:szCs w:val="24"/>
        </w:rPr>
      </w:pPr>
      <w:r>
        <w:rPr>
          <w:rFonts w:ascii="Arial" w:hAnsi="Arial" w:cs="Arial"/>
          <w:sz w:val="24"/>
          <w:szCs w:val="24"/>
        </w:rPr>
        <w:t>Programme outputs &amp; outcomes</w:t>
      </w:r>
    </w:p>
    <w:p w14:paraId="6F3415DC" w14:textId="77777777" w:rsidR="008D1598" w:rsidRDefault="00DE20F0">
      <w:pPr>
        <w:pStyle w:val="ListParagraph"/>
        <w:numPr>
          <w:ilvl w:val="0"/>
          <w:numId w:val="28"/>
        </w:numPr>
        <w:spacing w:after="120"/>
        <w:jc w:val="both"/>
        <w:rPr>
          <w:rFonts w:ascii="Arial" w:hAnsi="Arial" w:cs="Arial"/>
          <w:sz w:val="24"/>
          <w:szCs w:val="24"/>
        </w:rPr>
      </w:pPr>
      <w:r>
        <w:rPr>
          <w:rFonts w:ascii="Arial" w:hAnsi="Arial" w:cs="Arial"/>
          <w:sz w:val="24"/>
          <w:szCs w:val="24"/>
        </w:rPr>
        <w:t xml:space="preserve">Programme objectives and achievements </w:t>
      </w:r>
    </w:p>
    <w:p w14:paraId="3C377A54" w14:textId="77777777" w:rsidR="008D1598" w:rsidRDefault="00DE20F0">
      <w:pPr>
        <w:spacing w:after="120"/>
        <w:jc w:val="both"/>
        <w:rPr>
          <w:rFonts w:ascii="Arial" w:hAnsi="Arial" w:cs="Arial"/>
          <w:sz w:val="24"/>
          <w:szCs w:val="24"/>
        </w:rPr>
      </w:pPr>
      <w:r w:rsidRPr="00DE20F0">
        <w:rPr>
          <w:rFonts w:ascii="Arial" w:hAnsi="Arial" w:cs="Arial"/>
          <w:sz w:val="24"/>
          <w:szCs w:val="24"/>
        </w:rPr>
        <w:t xml:space="preserve">The TWG will discuss this reporting approach and will pilot the compilation of one or two such programme reports for the year ending 31.12.2016 and/or 31.12.2017, in the latter case using provisional data. </w:t>
      </w:r>
    </w:p>
    <w:p w14:paraId="375CC773" w14:textId="77777777" w:rsidR="008D1598" w:rsidRDefault="008D1598">
      <w:pPr>
        <w:spacing w:after="120"/>
        <w:jc w:val="both"/>
        <w:rPr>
          <w:rFonts w:ascii="Arial" w:hAnsi="Arial" w:cs="Arial"/>
          <w:sz w:val="24"/>
          <w:szCs w:val="24"/>
        </w:rPr>
      </w:pPr>
    </w:p>
    <w:p w14:paraId="7D5C65EF" w14:textId="77777777" w:rsidR="0040607E" w:rsidRPr="0030121C" w:rsidRDefault="00DE20F0" w:rsidP="00B867F5">
      <w:pPr>
        <w:spacing w:after="120"/>
        <w:jc w:val="both"/>
        <w:rPr>
          <w:rFonts w:ascii="Arial" w:hAnsi="Arial" w:cs="Arial"/>
          <w:b/>
          <w:sz w:val="28"/>
          <w:szCs w:val="24"/>
          <w:u w:val="single"/>
        </w:rPr>
      </w:pPr>
      <w:r w:rsidRPr="00DE20F0">
        <w:rPr>
          <w:rFonts w:ascii="Arial" w:hAnsi="Arial" w:cs="Arial"/>
          <w:b/>
          <w:sz w:val="28"/>
          <w:szCs w:val="24"/>
          <w:u w:val="single"/>
        </w:rPr>
        <w:t>List of Annexes</w:t>
      </w:r>
    </w:p>
    <w:p w14:paraId="5CBF75E3" w14:textId="77777777" w:rsidR="008D1598" w:rsidRDefault="00DE20F0">
      <w:pPr>
        <w:spacing w:after="120"/>
        <w:rPr>
          <w:rFonts w:ascii="Arial" w:eastAsia="Times New Roman" w:hAnsi="Arial" w:cs="Arial"/>
          <w:sz w:val="24"/>
          <w:szCs w:val="24"/>
          <w:lang w:eastAsia="en-GB"/>
        </w:rPr>
      </w:pPr>
      <w:r w:rsidRPr="00DE20F0">
        <w:rPr>
          <w:rFonts w:ascii="Arial" w:eastAsia="Times New Roman" w:hAnsi="Arial" w:cs="Arial"/>
          <w:b/>
          <w:sz w:val="24"/>
          <w:szCs w:val="24"/>
          <w:lang w:eastAsia="en-GB"/>
        </w:rPr>
        <w:t>Annex 1:</w:t>
      </w:r>
      <w:r>
        <w:rPr>
          <w:rFonts w:ascii="Arial" w:eastAsia="Times New Roman" w:hAnsi="Arial" w:cs="Arial"/>
          <w:sz w:val="24"/>
          <w:szCs w:val="24"/>
          <w:lang w:eastAsia="en-GB"/>
        </w:rPr>
        <w:t xml:space="preserve"> DG NEAR D</w:t>
      </w:r>
      <w:r w:rsidRPr="00DE20F0">
        <w:rPr>
          <w:rFonts w:ascii="Arial" w:eastAsia="Times New Roman" w:hAnsi="Arial" w:cs="Arial"/>
          <w:sz w:val="24"/>
          <w:szCs w:val="24"/>
          <w:lang w:eastAsia="en-GB"/>
        </w:rPr>
        <w:t>irector’s note</w:t>
      </w:r>
      <w:r>
        <w:rPr>
          <w:rFonts w:ascii="Arial" w:eastAsia="Times New Roman" w:hAnsi="Arial" w:cs="Arial"/>
          <w:sz w:val="24"/>
          <w:szCs w:val="24"/>
          <w:lang w:eastAsia="en-GB"/>
        </w:rPr>
        <w:t xml:space="preserve"> to EU Delegations</w:t>
      </w:r>
    </w:p>
    <w:p w14:paraId="381A6D3E" w14:textId="24D97B17" w:rsidR="008D1598" w:rsidRDefault="00DE20F0">
      <w:pPr>
        <w:spacing w:after="120"/>
        <w:rPr>
          <w:rFonts w:ascii="Arial" w:hAnsi="Arial" w:cs="Arial"/>
          <w:sz w:val="24"/>
          <w:szCs w:val="24"/>
        </w:rPr>
      </w:pPr>
      <w:r w:rsidRPr="00DE20F0">
        <w:rPr>
          <w:rFonts w:ascii="Arial" w:eastAsia="Times New Roman" w:hAnsi="Arial" w:cs="Arial"/>
          <w:b/>
          <w:sz w:val="24"/>
          <w:szCs w:val="24"/>
          <w:lang w:eastAsia="en-GB"/>
        </w:rPr>
        <w:lastRenderedPageBreak/>
        <w:t>Annex 2:</w:t>
      </w:r>
      <w:r w:rsidRPr="00DE20F0">
        <w:rPr>
          <w:rFonts w:ascii="Arial" w:eastAsia="Times New Roman" w:hAnsi="Arial" w:cs="Arial"/>
          <w:sz w:val="24"/>
          <w:szCs w:val="24"/>
          <w:lang w:eastAsia="en-GB"/>
        </w:rPr>
        <w:t xml:space="preserve"> </w:t>
      </w:r>
      <w:r w:rsidRPr="00DE20F0">
        <w:rPr>
          <w:rFonts w:ascii="Arial" w:hAnsi="Arial" w:cs="Arial"/>
          <w:sz w:val="24"/>
          <w:szCs w:val="24"/>
        </w:rPr>
        <w:t>Strategy for Exploiting Lessons and Synergies</w:t>
      </w:r>
      <w:r w:rsidR="00770F92">
        <w:rPr>
          <w:rStyle w:val="FootnoteReference"/>
          <w:rFonts w:cs="Arial"/>
          <w:szCs w:val="24"/>
        </w:rPr>
        <w:footnoteReference w:customMarkFollows="1" w:id="2"/>
        <w:t>*</w:t>
      </w:r>
    </w:p>
    <w:p w14:paraId="68DDACF3" w14:textId="77777777" w:rsidR="008D1598" w:rsidRDefault="00DE20F0">
      <w:pPr>
        <w:spacing w:after="120"/>
        <w:rPr>
          <w:rFonts w:ascii="Arial" w:eastAsia="Times New Roman" w:hAnsi="Arial" w:cs="Arial"/>
          <w:sz w:val="24"/>
          <w:szCs w:val="24"/>
          <w:lang w:eastAsia="en-GB"/>
        </w:rPr>
      </w:pPr>
      <w:r w:rsidRPr="00DE20F0">
        <w:rPr>
          <w:rFonts w:ascii="Arial" w:eastAsia="Times New Roman" w:hAnsi="Arial" w:cs="Arial"/>
          <w:b/>
          <w:sz w:val="24"/>
          <w:szCs w:val="24"/>
          <w:lang w:eastAsia="en-GB"/>
        </w:rPr>
        <w:t>Annex 3:</w:t>
      </w:r>
      <w:r>
        <w:rPr>
          <w:rFonts w:ascii="Arial" w:eastAsia="Times New Roman" w:hAnsi="Arial" w:cs="Arial"/>
          <w:sz w:val="24"/>
          <w:szCs w:val="24"/>
          <w:lang w:eastAsia="en-GB"/>
        </w:rPr>
        <w:t xml:space="preserve"> Evaluation of IPA CBC Programmes 2007-2013, Final Report, </w:t>
      </w:r>
      <w:proofErr w:type="gramStart"/>
      <w:r w:rsidRPr="00DE20F0">
        <w:rPr>
          <w:rFonts w:ascii="Arial" w:eastAsia="Times New Roman" w:hAnsi="Arial" w:cs="Arial"/>
          <w:sz w:val="24"/>
          <w:szCs w:val="24"/>
          <w:lang w:eastAsia="en-GB"/>
        </w:rPr>
        <w:t>Executive</w:t>
      </w:r>
      <w:proofErr w:type="gramEnd"/>
      <w:r w:rsidRPr="00DE20F0">
        <w:rPr>
          <w:rFonts w:ascii="Arial" w:eastAsia="Times New Roman" w:hAnsi="Arial" w:cs="Arial"/>
          <w:sz w:val="24"/>
          <w:szCs w:val="24"/>
          <w:lang w:eastAsia="en-GB"/>
        </w:rPr>
        <w:t xml:space="preserve"> Summary </w:t>
      </w:r>
    </w:p>
    <w:p w14:paraId="1B40E6C8" w14:textId="77777777" w:rsidR="008D1598" w:rsidRDefault="00DE20F0">
      <w:pPr>
        <w:spacing w:after="120"/>
        <w:rPr>
          <w:rFonts w:ascii="Arial" w:eastAsia="Times New Roman" w:hAnsi="Arial" w:cs="Arial"/>
          <w:sz w:val="24"/>
          <w:szCs w:val="24"/>
          <w:lang w:eastAsia="en-GB"/>
        </w:rPr>
      </w:pPr>
      <w:r w:rsidRPr="00DE20F0">
        <w:rPr>
          <w:rFonts w:ascii="Arial" w:eastAsia="Times New Roman" w:hAnsi="Arial" w:cs="Arial"/>
          <w:b/>
          <w:sz w:val="24"/>
          <w:szCs w:val="24"/>
          <w:lang w:eastAsia="en-GB"/>
        </w:rPr>
        <w:t>Annex 4:</w:t>
      </w:r>
      <w:r w:rsidRPr="00DE20F0">
        <w:rPr>
          <w:rFonts w:ascii="Arial" w:eastAsia="Times New Roman" w:hAnsi="Arial" w:cs="Arial"/>
          <w:sz w:val="24"/>
          <w:szCs w:val="24"/>
          <w:lang w:eastAsia="en-GB"/>
        </w:rPr>
        <w:t xml:space="preserve"> Action Package for CBC Performance Framework</w:t>
      </w:r>
    </w:p>
    <w:p w14:paraId="23E24DD7" w14:textId="77777777" w:rsidR="008D1598" w:rsidRDefault="00DE20F0">
      <w:pPr>
        <w:spacing w:after="120"/>
        <w:rPr>
          <w:rFonts w:ascii="Arial" w:eastAsia="Times New Roman" w:hAnsi="Arial" w:cs="Arial"/>
          <w:sz w:val="24"/>
          <w:szCs w:val="24"/>
          <w:lang w:eastAsia="en-GB"/>
        </w:rPr>
      </w:pPr>
      <w:r w:rsidRPr="00DE20F0">
        <w:rPr>
          <w:rFonts w:ascii="Arial" w:eastAsia="Times New Roman" w:hAnsi="Arial" w:cs="Arial"/>
          <w:b/>
          <w:sz w:val="24"/>
          <w:szCs w:val="24"/>
          <w:lang w:eastAsia="en-GB"/>
        </w:rPr>
        <w:t>Annex 5:</w:t>
      </w:r>
      <w:r w:rsidRPr="00DE20F0">
        <w:rPr>
          <w:rFonts w:ascii="Arial" w:eastAsia="Times New Roman" w:hAnsi="Arial" w:cs="Arial"/>
          <w:sz w:val="24"/>
          <w:szCs w:val="24"/>
          <w:lang w:eastAsia="en-GB"/>
        </w:rPr>
        <w:t xml:space="preserve"> </w:t>
      </w:r>
      <w:r w:rsidRPr="00DE20F0">
        <w:rPr>
          <w:rFonts w:ascii="Arial" w:hAnsi="Arial" w:cs="Arial"/>
          <w:sz w:val="24"/>
          <w:szCs w:val="24"/>
        </w:rPr>
        <w:t>Update on the status of the ex-post monitoring questionnaires (S</w:t>
      </w:r>
      <w:r>
        <w:rPr>
          <w:rFonts w:ascii="Arial" w:eastAsia="Times New Roman" w:hAnsi="Arial" w:cs="Arial"/>
          <w:sz w:val="24"/>
          <w:szCs w:val="24"/>
          <w:lang w:eastAsia="en-GB"/>
        </w:rPr>
        <w:t>ummary</w:t>
      </w:r>
      <w:r w:rsidRPr="00DE20F0">
        <w:rPr>
          <w:rFonts w:ascii="Arial" w:eastAsia="Times New Roman" w:hAnsi="Arial" w:cs="Arial"/>
          <w:sz w:val="24"/>
          <w:szCs w:val="24"/>
          <w:lang w:eastAsia="en-GB"/>
        </w:rPr>
        <w:t xml:space="preserve"> </w:t>
      </w:r>
      <w:r>
        <w:rPr>
          <w:rFonts w:ascii="Arial" w:eastAsia="Times New Roman" w:hAnsi="Arial" w:cs="Arial"/>
          <w:sz w:val="24"/>
          <w:szCs w:val="24"/>
          <w:lang w:eastAsia="en-GB"/>
        </w:rPr>
        <w:t>Table)</w:t>
      </w:r>
    </w:p>
    <w:p w14:paraId="2C6F5398" w14:textId="69A9C76E" w:rsidR="008D1598" w:rsidRDefault="00DE20F0">
      <w:pPr>
        <w:spacing w:after="120"/>
        <w:rPr>
          <w:rFonts w:ascii="Arial" w:eastAsia="Times New Roman" w:hAnsi="Arial" w:cs="Arial"/>
          <w:sz w:val="24"/>
          <w:szCs w:val="24"/>
          <w:lang w:eastAsia="en-GB"/>
        </w:rPr>
      </w:pPr>
      <w:r w:rsidRPr="00790F9C">
        <w:rPr>
          <w:rFonts w:ascii="Arial" w:eastAsia="Times New Roman" w:hAnsi="Arial" w:cs="Arial"/>
          <w:b/>
          <w:sz w:val="24"/>
          <w:szCs w:val="24"/>
          <w:lang w:eastAsia="en-GB"/>
        </w:rPr>
        <w:t xml:space="preserve">Annex </w:t>
      </w:r>
      <w:r w:rsidR="0021108D">
        <w:rPr>
          <w:rFonts w:ascii="Arial" w:eastAsia="Times New Roman" w:hAnsi="Arial" w:cs="Arial"/>
          <w:b/>
          <w:sz w:val="24"/>
          <w:szCs w:val="24"/>
          <w:lang w:eastAsia="en-GB"/>
        </w:rPr>
        <w:t>6</w:t>
      </w:r>
      <w:r w:rsidRPr="00790F9C">
        <w:rPr>
          <w:rFonts w:ascii="Arial" w:eastAsia="Times New Roman" w:hAnsi="Arial" w:cs="Arial"/>
          <w:b/>
          <w:sz w:val="24"/>
          <w:szCs w:val="24"/>
          <w:lang w:eastAsia="en-GB"/>
        </w:rPr>
        <w:t>:</w:t>
      </w:r>
      <w:r w:rsidRPr="00790F9C">
        <w:rPr>
          <w:rFonts w:ascii="Arial" w:eastAsia="Times New Roman" w:hAnsi="Arial" w:cs="Arial"/>
          <w:sz w:val="24"/>
          <w:szCs w:val="24"/>
          <w:lang w:eastAsia="en-GB"/>
        </w:rPr>
        <w:t xml:space="preserve"> Presentation on Monitoring System</w:t>
      </w:r>
    </w:p>
    <w:p w14:paraId="45E6B480" w14:textId="5A38B510" w:rsidR="008D1598" w:rsidRDefault="00DE20F0">
      <w:pPr>
        <w:spacing w:after="120"/>
        <w:rPr>
          <w:rFonts w:ascii="Arial" w:eastAsia="Times New Roman" w:hAnsi="Arial" w:cs="Arial"/>
          <w:sz w:val="24"/>
          <w:szCs w:val="24"/>
          <w:lang w:eastAsia="en-GB"/>
        </w:rPr>
      </w:pPr>
      <w:r w:rsidRPr="00922958">
        <w:rPr>
          <w:rFonts w:ascii="Arial" w:eastAsia="Times New Roman" w:hAnsi="Arial" w:cs="Arial"/>
          <w:b/>
          <w:sz w:val="24"/>
          <w:szCs w:val="24"/>
          <w:lang w:eastAsia="en-GB"/>
        </w:rPr>
        <w:t xml:space="preserve">Annex </w:t>
      </w:r>
      <w:r w:rsidR="0021108D">
        <w:rPr>
          <w:rFonts w:ascii="Arial" w:eastAsia="Times New Roman" w:hAnsi="Arial" w:cs="Arial"/>
          <w:b/>
          <w:sz w:val="24"/>
          <w:szCs w:val="24"/>
          <w:lang w:eastAsia="en-GB"/>
        </w:rPr>
        <w:t>7</w:t>
      </w:r>
      <w:r>
        <w:rPr>
          <w:rFonts w:ascii="Arial" w:eastAsia="Times New Roman" w:hAnsi="Arial" w:cs="Arial"/>
          <w:sz w:val="24"/>
          <w:szCs w:val="24"/>
          <w:lang w:eastAsia="en-GB"/>
        </w:rPr>
        <w:t>: Model Annual Implementation Report</w:t>
      </w:r>
    </w:p>
    <w:p w14:paraId="3EA77AE0" w14:textId="5FE558D2" w:rsidR="008D1598" w:rsidRDefault="00DE20F0">
      <w:pPr>
        <w:spacing w:after="120"/>
        <w:rPr>
          <w:rFonts w:ascii="Arial" w:eastAsia="Times New Roman" w:hAnsi="Arial" w:cs="Arial"/>
          <w:sz w:val="24"/>
          <w:szCs w:val="24"/>
          <w:lang w:eastAsia="en-GB"/>
        </w:rPr>
      </w:pPr>
      <w:r w:rsidRPr="00922958">
        <w:rPr>
          <w:rFonts w:ascii="Arial" w:eastAsia="Times New Roman" w:hAnsi="Arial" w:cs="Arial"/>
          <w:b/>
          <w:sz w:val="24"/>
          <w:szCs w:val="24"/>
          <w:lang w:eastAsia="en-GB"/>
        </w:rPr>
        <w:t xml:space="preserve">Annex </w:t>
      </w:r>
      <w:r w:rsidR="002947C4">
        <w:rPr>
          <w:rFonts w:ascii="Arial" w:eastAsia="Times New Roman" w:hAnsi="Arial" w:cs="Arial"/>
          <w:b/>
          <w:sz w:val="24"/>
          <w:szCs w:val="24"/>
          <w:lang w:eastAsia="en-GB"/>
        </w:rPr>
        <w:t>8</w:t>
      </w:r>
      <w:r>
        <w:rPr>
          <w:rFonts w:ascii="Arial" w:eastAsia="Times New Roman" w:hAnsi="Arial" w:cs="Arial"/>
          <w:sz w:val="24"/>
          <w:szCs w:val="24"/>
          <w:lang w:eastAsia="en-GB"/>
        </w:rPr>
        <w:t>: Model Final Narrative Report</w:t>
      </w:r>
    </w:p>
    <w:p w14:paraId="3A21BE30" w14:textId="751B16B4" w:rsidR="008D1598" w:rsidRDefault="002947C4">
      <w:pPr>
        <w:spacing w:after="120"/>
        <w:rPr>
          <w:rFonts w:ascii="Arial" w:eastAsia="Times New Roman" w:hAnsi="Arial" w:cs="Arial"/>
          <w:sz w:val="24"/>
          <w:szCs w:val="24"/>
          <w:lang w:eastAsia="en-GB"/>
        </w:rPr>
      </w:pPr>
      <w:r>
        <w:rPr>
          <w:rFonts w:ascii="Arial" w:eastAsia="Times New Roman" w:hAnsi="Arial" w:cs="Arial"/>
          <w:b/>
          <w:sz w:val="24"/>
          <w:szCs w:val="24"/>
          <w:lang w:eastAsia="en-GB"/>
        </w:rPr>
        <w:t>Annex 9</w:t>
      </w:r>
      <w:r w:rsidR="00C503A2" w:rsidRPr="005C737E">
        <w:rPr>
          <w:rFonts w:ascii="Arial" w:eastAsia="Times New Roman" w:hAnsi="Arial" w:cs="Arial"/>
          <w:sz w:val="24"/>
          <w:szCs w:val="24"/>
          <w:lang w:eastAsia="en-GB"/>
        </w:rPr>
        <w:t xml:space="preserve">: </w:t>
      </w:r>
      <w:r w:rsidR="00572EB8">
        <w:rPr>
          <w:rFonts w:ascii="Arial" w:eastAsia="Times New Roman" w:hAnsi="Arial" w:cs="Arial"/>
          <w:sz w:val="24"/>
          <w:szCs w:val="24"/>
          <w:lang w:eastAsia="en-GB"/>
        </w:rPr>
        <w:t>CBC p</w:t>
      </w:r>
      <w:r w:rsidR="00C503A2">
        <w:rPr>
          <w:rFonts w:ascii="Arial" w:eastAsia="Times New Roman" w:hAnsi="Arial" w:cs="Arial"/>
          <w:sz w:val="24"/>
          <w:szCs w:val="24"/>
          <w:lang w:eastAsia="en-GB"/>
        </w:rPr>
        <w:t>rogramme-level</w:t>
      </w:r>
      <w:r w:rsidR="00572EB8">
        <w:rPr>
          <w:rFonts w:ascii="Arial" w:eastAsia="Times New Roman" w:hAnsi="Arial" w:cs="Arial"/>
          <w:sz w:val="24"/>
          <w:szCs w:val="24"/>
          <w:lang w:eastAsia="en-GB"/>
        </w:rPr>
        <w:t xml:space="preserve"> reporting</w:t>
      </w:r>
      <w:r w:rsidR="00C503A2">
        <w:rPr>
          <w:rFonts w:ascii="Arial" w:eastAsia="Times New Roman" w:hAnsi="Arial" w:cs="Arial"/>
          <w:sz w:val="24"/>
          <w:szCs w:val="24"/>
          <w:lang w:eastAsia="en-GB"/>
        </w:rPr>
        <w:t xml:space="preserve"> &amp; </w:t>
      </w:r>
      <w:r w:rsidR="00572EB8">
        <w:rPr>
          <w:rFonts w:ascii="Arial" w:eastAsia="Times New Roman" w:hAnsi="Arial" w:cs="Arial"/>
          <w:sz w:val="24"/>
          <w:szCs w:val="24"/>
          <w:lang w:eastAsia="en-GB"/>
        </w:rPr>
        <w:t>Western Balkans-wide overview</w:t>
      </w:r>
      <w:r w:rsidR="00C503A2">
        <w:rPr>
          <w:rFonts w:ascii="Arial" w:eastAsia="Times New Roman" w:hAnsi="Arial" w:cs="Arial"/>
          <w:sz w:val="24"/>
          <w:szCs w:val="24"/>
          <w:lang w:eastAsia="en-GB"/>
        </w:rPr>
        <w:t xml:space="preserve"> </w:t>
      </w:r>
    </w:p>
    <w:p w14:paraId="3B8A16F9" w14:textId="77777777" w:rsidR="00C204B1" w:rsidRPr="00FD31DF" w:rsidRDefault="00C204B1" w:rsidP="00B867F5">
      <w:pPr>
        <w:spacing w:after="120"/>
        <w:jc w:val="both"/>
        <w:rPr>
          <w:rFonts w:ascii="Arial" w:hAnsi="Arial" w:cs="Arial"/>
          <w:sz w:val="24"/>
          <w:szCs w:val="24"/>
        </w:rPr>
      </w:pPr>
    </w:p>
    <w:sectPr w:rsidR="00C204B1" w:rsidRPr="00FD31DF" w:rsidSect="002A5C7B">
      <w:headerReference w:type="default" r:id="rId10"/>
      <w:footerReference w:type="default" r:id="rId11"/>
      <w:headerReference w:type="first" r:id="rId12"/>
      <w:footerReference w:type="first" r:id="rId13"/>
      <w:pgSz w:w="11906" w:h="16838" w:code="9"/>
      <w:pgMar w:top="2160" w:right="1440" w:bottom="1151" w:left="1440"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9F7D9" w14:textId="77777777" w:rsidR="009E07F6" w:rsidRDefault="009E07F6" w:rsidP="004B692E">
      <w:pPr>
        <w:spacing w:after="0" w:line="240" w:lineRule="auto"/>
      </w:pPr>
      <w:r>
        <w:separator/>
      </w:r>
    </w:p>
  </w:endnote>
  <w:endnote w:type="continuationSeparator" w:id="0">
    <w:p w14:paraId="1A0749B9" w14:textId="77777777" w:rsidR="009E07F6" w:rsidRDefault="009E07F6"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8D1598" w:rsidRPr="00E90513" w14:paraId="402AD3F4" w14:textId="77777777" w:rsidTr="008D1598">
      <w:tc>
        <w:tcPr>
          <w:tcW w:w="1329" w:type="pct"/>
        </w:tcPr>
        <w:p w14:paraId="1E28A9FC" w14:textId="77777777" w:rsidR="008D1598" w:rsidRPr="00C736CF" w:rsidRDefault="008D1598" w:rsidP="00F373A0">
          <w:pPr>
            <w:pStyle w:val="Footer"/>
            <w:tabs>
              <w:tab w:val="clear" w:pos="4536"/>
              <w:tab w:val="clear" w:pos="9072"/>
            </w:tabs>
            <w:rPr>
              <w:sz w:val="18"/>
              <w:szCs w:val="18"/>
            </w:rPr>
          </w:pPr>
        </w:p>
      </w:tc>
      <w:tc>
        <w:tcPr>
          <w:tcW w:w="2266" w:type="pct"/>
        </w:tcPr>
        <w:p w14:paraId="190DF055" w14:textId="77777777" w:rsidR="008D1598" w:rsidRPr="00C736CF" w:rsidRDefault="008D1598" w:rsidP="00F373A0">
          <w:pPr>
            <w:pStyle w:val="Footer"/>
            <w:tabs>
              <w:tab w:val="clear" w:pos="4536"/>
              <w:tab w:val="clear" w:pos="9072"/>
            </w:tabs>
            <w:rPr>
              <w:sz w:val="18"/>
              <w:szCs w:val="18"/>
            </w:rPr>
          </w:pPr>
        </w:p>
      </w:tc>
      <w:tc>
        <w:tcPr>
          <w:tcW w:w="1405" w:type="pct"/>
        </w:tcPr>
        <w:p w14:paraId="46C9A0CE" w14:textId="77777777" w:rsidR="008D1598" w:rsidRPr="00E90513" w:rsidRDefault="008D1598"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Pr="00E90513">
            <w:rPr>
              <w:rFonts w:ascii="Arial" w:hAnsi="Arial" w:cs="Arial"/>
              <w:b/>
              <w:sz w:val="14"/>
              <w:szCs w:val="14"/>
            </w:rPr>
            <w:fldChar w:fldCharType="separate"/>
          </w:r>
          <w:r w:rsidR="00572EB8">
            <w:rPr>
              <w:rFonts w:ascii="Arial" w:hAnsi="Arial" w:cs="Arial"/>
              <w:b/>
              <w:noProof/>
              <w:sz w:val="14"/>
              <w:szCs w:val="14"/>
            </w:rPr>
            <w:t>5</w:t>
          </w:r>
          <w:r w:rsidRPr="00E90513">
            <w:rPr>
              <w:rFonts w:ascii="Arial" w:hAnsi="Arial" w:cs="Arial"/>
              <w:b/>
              <w:sz w:val="14"/>
              <w:szCs w:val="14"/>
            </w:rPr>
            <w:fldChar w:fldCharType="end"/>
          </w:r>
          <w:r w:rsidRPr="00E90513">
            <w:rPr>
              <w:rFonts w:ascii="Arial" w:hAnsi="Arial" w:cs="Arial"/>
              <w:sz w:val="14"/>
              <w:szCs w:val="14"/>
            </w:rPr>
            <w:t xml:space="preserve"> of </w:t>
          </w:r>
          <w:fldSimple w:instr=" NUMPAGES  \* Arabic  \* MERGEFORMAT ">
            <w:r w:rsidR="00572EB8" w:rsidRPr="00572EB8">
              <w:rPr>
                <w:rFonts w:ascii="Arial" w:hAnsi="Arial" w:cs="Arial"/>
                <w:b/>
                <w:noProof/>
                <w:sz w:val="14"/>
                <w:szCs w:val="14"/>
              </w:rPr>
              <w:t>7</w:t>
            </w:r>
          </w:fldSimple>
        </w:p>
      </w:tc>
    </w:tr>
  </w:tbl>
  <w:p w14:paraId="46121EAB" w14:textId="77777777" w:rsidR="008D1598" w:rsidRDefault="008D1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C871" w14:textId="0B6212EB" w:rsidR="008D1598" w:rsidRPr="002A5C7B" w:rsidRDefault="008D1598" w:rsidP="002A5C7B">
    <w:pPr>
      <w:pStyle w:val="Footer"/>
      <w:rPr>
        <w:rFonts w:ascii="Segoe UI" w:hAnsi="Segoe UI" w:cs="Segoe UI"/>
        <w:sz w:val="12"/>
        <w:szCs w:val="12"/>
      </w:rPr>
    </w:pPr>
    <w:r>
      <w:rPr>
        <w:rFonts w:ascii="Segoe UI" w:hAnsi="Segoe UI" w:cs="Segoe UI"/>
        <w:noProof/>
        <w:sz w:val="12"/>
        <w:szCs w:val="12"/>
      </w:rPr>
      <w:drawing>
        <wp:anchor distT="0" distB="0" distL="114300" distR="114300" simplePos="0" relativeHeight="251670528" behindDoc="1" locked="0" layoutInCell="1" allowOverlap="1" wp14:anchorId="1A911E43" wp14:editId="4C42B666">
          <wp:simplePos x="0" y="0"/>
          <wp:positionH relativeFrom="column">
            <wp:posOffset>4714240</wp:posOffset>
          </wp:positionH>
          <wp:positionV relativeFrom="paragraph">
            <wp:posOffset>3175</wp:posOffset>
          </wp:positionV>
          <wp:extent cx="992505" cy="517525"/>
          <wp:effectExtent l="0" t="0" r="0" b="0"/>
          <wp:wrapThrough wrapText="bothSides">
            <wp:wrapPolygon edited="0">
              <wp:start x="0" y="0"/>
              <wp:lineTo x="0" y="20672"/>
              <wp:lineTo x="21144" y="20672"/>
              <wp:lineTo x="211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517525"/>
                  </a:xfrm>
                  <a:prstGeom prst="rect">
                    <a:avLst/>
                  </a:prstGeom>
                </pic:spPr>
              </pic:pic>
            </a:graphicData>
          </a:graphic>
        </wp:anchor>
      </w:drawing>
    </w:r>
    <w:r w:rsidR="00CE14A1">
      <w:rPr>
        <w:rFonts w:ascii="Segoe UI" w:hAnsi="Segoe UI" w:cs="Segoe UI"/>
        <w:noProof/>
        <w:sz w:val="12"/>
        <w:szCs w:val="12"/>
      </w:rPr>
      <mc:AlternateContent>
        <mc:Choice Requires="wps">
          <w:drawing>
            <wp:anchor distT="4294967293" distB="4294967293" distL="114300" distR="114300" simplePos="0" relativeHeight="251669504" behindDoc="0" locked="0" layoutInCell="1" allowOverlap="1" wp14:anchorId="365C3A87" wp14:editId="2E1F8C9C">
              <wp:simplePos x="0" y="0"/>
              <wp:positionH relativeFrom="column">
                <wp:posOffset>-5080</wp:posOffset>
              </wp:positionH>
              <wp:positionV relativeFrom="paragraph">
                <wp:posOffset>-12701</wp:posOffset>
              </wp:positionV>
              <wp:extent cx="57302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DCAC31" id="_x0000_t32" coordsize="21600,21600" o:spt="32" o:oned="t" path="m,l21600,21600e" filled="f">
              <v:path arrowok="t" fillok="f" o:connecttype="none"/>
              <o:lock v:ext="edit" shapetype="t"/>
            </v:shapetype>
            <v:shape id="Straight Arrow Connector 6" o:spid="_x0000_s1026" type="#_x0000_t32" style="position:absolute;margin-left:-.4pt;margin-top:-1pt;width:451.2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"/>
          </w:pict>
        </mc:Fallback>
      </mc:AlternateContent>
    </w:r>
    <w:r w:rsidRPr="002A5C7B">
      <w:rPr>
        <w:rFonts w:ascii="Segoe UI" w:hAnsi="Segoe UI" w:cs="Segoe UI"/>
        <w:sz w:val="12"/>
        <w:szCs w:val="12"/>
      </w:rPr>
      <w:t>Belgrade Office</w:t>
    </w:r>
  </w:p>
  <w:p w14:paraId="381773F6" w14:textId="04B2C6FC" w:rsidR="008D1598" w:rsidRPr="002A5C7B" w:rsidRDefault="00790F9C" w:rsidP="002A5C7B">
    <w:pPr>
      <w:pStyle w:val="Footer"/>
      <w:rPr>
        <w:rFonts w:ascii="Segoe UI" w:hAnsi="Segoe UI" w:cs="Segoe UI"/>
        <w:sz w:val="12"/>
        <w:szCs w:val="12"/>
      </w:rPr>
    </w:pPr>
    <w:proofErr w:type="spellStart"/>
    <w:r>
      <w:rPr>
        <w:rFonts w:ascii="Segoe UI" w:hAnsi="Segoe UI" w:cs="Segoe UI"/>
        <w:sz w:val="12"/>
        <w:szCs w:val="12"/>
      </w:rPr>
      <w:t>Svetozara</w:t>
    </w:r>
    <w:proofErr w:type="spellEnd"/>
    <w:r>
      <w:rPr>
        <w:rFonts w:ascii="Segoe UI" w:hAnsi="Segoe UI" w:cs="Segoe UI"/>
        <w:sz w:val="12"/>
        <w:szCs w:val="12"/>
      </w:rPr>
      <w:t xml:space="preserve"> </w:t>
    </w:r>
    <w:proofErr w:type="spellStart"/>
    <w:r>
      <w:rPr>
        <w:rFonts w:ascii="Segoe UI" w:hAnsi="Segoe UI" w:cs="Segoe UI"/>
        <w:sz w:val="12"/>
        <w:szCs w:val="12"/>
      </w:rPr>
      <w:t>Markovica</w:t>
    </w:r>
    <w:proofErr w:type="spellEnd"/>
    <w:r>
      <w:rPr>
        <w:rFonts w:ascii="Segoe UI" w:hAnsi="Segoe UI" w:cs="Segoe UI"/>
        <w:sz w:val="12"/>
        <w:szCs w:val="12"/>
      </w:rPr>
      <w:t xml:space="preserve"> 40b/III</w:t>
    </w:r>
  </w:p>
  <w:p w14:paraId="76C88732" w14:textId="59885177" w:rsidR="008D1598" w:rsidRDefault="008D1598" w:rsidP="00DB2F91">
    <w:pPr>
      <w:pStyle w:val="Footer"/>
      <w:rPr>
        <w:rFonts w:ascii="Segoe UI" w:hAnsi="Segoe UI" w:cs="Segoe UI"/>
        <w:sz w:val="12"/>
        <w:szCs w:val="12"/>
      </w:rPr>
    </w:pPr>
    <w:r w:rsidRPr="002A5C7B">
      <w:rPr>
        <w:rFonts w:ascii="Segoe UI" w:hAnsi="Segoe UI" w:cs="Segoe UI"/>
        <w:sz w:val="12"/>
        <w:szCs w:val="12"/>
      </w:rPr>
      <w:t xml:space="preserve">+381 </w:t>
    </w:r>
    <w:r>
      <w:rPr>
        <w:rFonts w:ascii="Segoe UI" w:hAnsi="Segoe UI" w:cs="Segoe UI"/>
        <w:sz w:val="12"/>
        <w:szCs w:val="12"/>
      </w:rPr>
      <w:t>11 3</w:t>
    </w:r>
    <w:r w:rsidR="00790F9C">
      <w:rPr>
        <w:rFonts w:ascii="Segoe UI" w:hAnsi="Segoe UI" w:cs="Segoe UI"/>
        <w:sz w:val="12"/>
        <w:szCs w:val="12"/>
      </w:rPr>
      <w:t>640 514</w:t>
    </w:r>
  </w:p>
  <w:p w14:paraId="05F77969" w14:textId="77777777" w:rsidR="008D1598" w:rsidRPr="002A5C7B" w:rsidRDefault="008D1598" w:rsidP="002A5C7B">
    <w:pPr>
      <w:pStyle w:val="Footer"/>
      <w:rPr>
        <w:rFonts w:ascii="Segoe UI" w:hAnsi="Segoe UI" w:cs="Segoe UI"/>
        <w:sz w:val="12"/>
        <w:szCs w:val="12"/>
      </w:rPr>
    </w:pPr>
    <w:r>
      <w:rPr>
        <w:rFonts w:ascii="Segoe UI" w:hAnsi="Segoe UI" w:cs="Segoe UI"/>
        <w:sz w:val="12"/>
        <w:szCs w:val="12"/>
      </w:rPr>
      <w:t>---------------------</w:t>
    </w:r>
    <w:r>
      <w:rPr>
        <w:rFonts w:ascii="Segoe UI" w:hAnsi="Segoe UI" w:cs="Segoe UI"/>
        <w:sz w:val="12"/>
        <w:szCs w:val="12"/>
      </w:rPr>
      <w:tab/>
    </w:r>
    <w:r>
      <w:rPr>
        <w:rFonts w:ascii="Segoe UI" w:hAnsi="Segoe UI" w:cs="Segoe UI"/>
        <w:sz w:val="12"/>
        <w:szCs w:val="12"/>
      </w:rPr>
      <w:tab/>
    </w:r>
  </w:p>
  <w:p w14:paraId="01F96885" w14:textId="77777777" w:rsidR="008D1598" w:rsidRDefault="009E07F6" w:rsidP="002A5C7B">
    <w:pPr>
      <w:pStyle w:val="Footer"/>
      <w:tabs>
        <w:tab w:val="left" w:pos="7513"/>
        <w:tab w:val="left" w:pos="7655"/>
      </w:tabs>
      <w:rPr>
        <w:rFonts w:ascii="Segoe UI" w:hAnsi="Segoe UI" w:cs="Segoe UI"/>
        <w:sz w:val="12"/>
        <w:szCs w:val="12"/>
      </w:rPr>
    </w:pPr>
    <w:hyperlink r:id="rId2" w:history="1">
      <w:r w:rsidR="008D1598" w:rsidRPr="00B224E0">
        <w:rPr>
          <w:rStyle w:val="Hyperlink"/>
          <w:rFonts w:ascii="Segoe UI" w:hAnsi="Segoe UI" w:cs="Segoe UI"/>
          <w:sz w:val="12"/>
          <w:szCs w:val="12"/>
        </w:rPr>
        <w:t>office@cbibplus.eu</w:t>
      </w:r>
    </w:hyperlink>
    <w:r w:rsidR="008D1598">
      <w:rPr>
        <w:rFonts w:ascii="Segoe UI" w:hAnsi="Segoe UI" w:cs="Segoe UI"/>
        <w:sz w:val="12"/>
        <w:szCs w:val="12"/>
      </w:rPr>
      <w:tab/>
    </w:r>
    <w:r w:rsidR="008D1598">
      <w:rPr>
        <w:rFonts w:ascii="Segoe UI" w:hAnsi="Segoe UI" w:cs="Segoe UI"/>
        <w:sz w:val="12"/>
        <w:szCs w:val="12"/>
      </w:rPr>
      <w:tab/>
      <w:t>A project implemented</w:t>
    </w:r>
  </w:p>
  <w:p w14:paraId="582B72B5" w14:textId="77777777" w:rsidR="008D1598" w:rsidRPr="002A5C7B" w:rsidRDefault="009E07F6" w:rsidP="002A5C7B">
    <w:pPr>
      <w:pStyle w:val="Footer"/>
      <w:tabs>
        <w:tab w:val="left" w:pos="7513"/>
        <w:tab w:val="left" w:pos="7655"/>
      </w:tabs>
    </w:pPr>
    <w:hyperlink r:id="rId3" w:history="1">
      <w:r w:rsidR="008D1598" w:rsidRPr="00B224E0">
        <w:rPr>
          <w:rStyle w:val="Hyperlink"/>
          <w:rFonts w:ascii="Segoe UI" w:hAnsi="Segoe UI" w:cs="Segoe UI"/>
          <w:sz w:val="12"/>
          <w:szCs w:val="12"/>
        </w:rPr>
        <w:t>www.cbibplus.eu</w:t>
      </w:r>
    </w:hyperlink>
    <w:r w:rsidR="008D1598">
      <w:rPr>
        <w:rFonts w:ascii="Segoe UI" w:hAnsi="Segoe UI" w:cs="Segoe UI"/>
        <w:sz w:val="12"/>
        <w:szCs w:val="12"/>
      </w:rPr>
      <w:t xml:space="preserve"> </w:t>
    </w:r>
    <w:r w:rsidR="008D1598">
      <w:rPr>
        <w:rFonts w:ascii="Segoe UI" w:hAnsi="Segoe UI" w:cs="Segoe UI"/>
        <w:sz w:val="12"/>
        <w:szCs w:val="12"/>
      </w:rPr>
      <w:tab/>
    </w:r>
    <w:r w:rsidR="008D1598">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4DF90" w14:textId="77777777" w:rsidR="009E07F6" w:rsidRDefault="009E07F6" w:rsidP="004B692E">
      <w:pPr>
        <w:spacing w:after="0" w:line="240" w:lineRule="auto"/>
      </w:pPr>
      <w:r>
        <w:separator/>
      </w:r>
    </w:p>
  </w:footnote>
  <w:footnote w:type="continuationSeparator" w:id="0">
    <w:p w14:paraId="2A2B2AD5" w14:textId="77777777" w:rsidR="009E07F6" w:rsidRDefault="009E07F6" w:rsidP="004B692E">
      <w:pPr>
        <w:spacing w:after="0" w:line="240" w:lineRule="auto"/>
      </w:pPr>
      <w:r>
        <w:continuationSeparator/>
      </w:r>
    </w:p>
  </w:footnote>
  <w:footnote w:id="1">
    <w:p w14:paraId="0B3E0DDC" w14:textId="77777777" w:rsidR="000D09BF" w:rsidRPr="00790F9C" w:rsidRDefault="000D09BF" w:rsidP="00790F9C">
      <w:pPr>
        <w:pStyle w:val="FootnoteText"/>
        <w:ind w:left="0" w:firstLine="0"/>
      </w:pPr>
      <w:r>
        <w:rPr>
          <w:rStyle w:val="FootnoteReference"/>
        </w:rPr>
        <w:footnoteRef/>
      </w:r>
      <w:r>
        <w:t xml:space="preserve"> During the Phase I of the CBIB project, a TWG discussed a model application package</w:t>
      </w:r>
      <w:r w:rsidR="00C47C99">
        <w:t xml:space="preserve"> for CBC IPA II calls for proposals</w:t>
      </w:r>
      <w:r>
        <w:t xml:space="preserve"> </w:t>
      </w:r>
      <w:r w:rsidR="00C47C99">
        <w:t>that was presented to DG NEAR for endorsement. By note of Director D of 7 July 2016, A</w:t>
      </w:r>
      <w:r w:rsidR="00C47C99" w:rsidRPr="00C47C99">
        <w:t>res</w:t>
      </w:r>
      <w:r w:rsidR="00C47C99">
        <w:t xml:space="preserve"> (</w:t>
      </w:r>
      <w:r w:rsidR="00C47C99" w:rsidRPr="00C47C99">
        <w:t>2016</w:t>
      </w:r>
      <w:r w:rsidR="00C47C99">
        <w:t>)</w:t>
      </w:r>
      <w:r w:rsidR="00C47C99" w:rsidRPr="00C47C99">
        <w:t>3240816</w:t>
      </w:r>
      <w:r w:rsidR="00C47C99">
        <w:t xml:space="preserve">, this application package was recommended to all contracting authorities as reference for the publication of calls for proposals under IPA II CBC programmes. The package stresses as never before the importance of the performance management and contributes with its guidelines for applicants and model interim and final reports to set a good practice example in this field.  </w:t>
      </w:r>
    </w:p>
  </w:footnote>
  <w:footnote w:id="2">
    <w:p w14:paraId="4653E1A5" w14:textId="4F9F5E6F" w:rsidR="00770F92" w:rsidRDefault="00770F92">
      <w:pPr>
        <w:pStyle w:val="FootnoteText"/>
      </w:pPr>
      <w:r>
        <w:rPr>
          <w:rStyle w:val="FootnoteReference"/>
        </w:rPr>
        <w:t>*</w:t>
      </w:r>
      <w:r>
        <w:t xml:space="preserve"> A new version will be prepared in the second half of October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A2AA5" w14:textId="77777777" w:rsidR="008D1598" w:rsidRDefault="008D1598" w:rsidP="004B692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E234" w14:textId="77777777" w:rsidR="008D1598" w:rsidRPr="00011933" w:rsidRDefault="008D1598" w:rsidP="00011933">
    <w:pPr>
      <w:pStyle w:val="Header"/>
      <w:ind w:firstLine="567"/>
      <w:rPr>
        <w:rFonts w:ascii="Segoe UI" w:hAnsi="Segoe UI" w:cs="Segoe UI"/>
        <w:b/>
        <w:sz w:val="12"/>
        <w:szCs w:val="12"/>
      </w:rPr>
    </w:pPr>
    <w:r w:rsidRPr="00011933">
      <w:rPr>
        <w:noProof/>
        <w:sz w:val="12"/>
        <w:szCs w:val="12"/>
      </w:rPr>
      <w:drawing>
        <wp:anchor distT="0" distB="0" distL="114300" distR="114300" simplePos="0" relativeHeight="251667456" behindDoc="1" locked="0" layoutInCell="1" allowOverlap="1" wp14:anchorId="3BE9A4FE" wp14:editId="0D6B73C7">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anchor>
      </w:drawing>
    </w:r>
    <w:r>
      <w:rPr>
        <w:noProof/>
        <w:sz w:val="12"/>
        <w:szCs w:val="12"/>
      </w:rPr>
      <w:drawing>
        <wp:inline distT="0" distB="0" distL="0" distR="0" wp14:anchorId="6E45420D" wp14:editId="7203E5BB">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rPr>
      <w:tab/>
    </w:r>
  </w:p>
  <w:p w14:paraId="4307CEB1" w14:textId="77777777" w:rsidR="008D1598" w:rsidRPr="00011933" w:rsidRDefault="008D1598" w:rsidP="002A5C7B">
    <w:pPr>
      <w:pStyle w:val="Header"/>
      <w:tabs>
        <w:tab w:val="left" w:pos="7655"/>
        <w:tab w:val="left" w:pos="7797"/>
      </w:tabs>
      <w:rPr>
        <w:rFonts w:ascii="Segoe UI" w:hAnsi="Segoe UI" w:cs="Segoe UI"/>
        <w:b/>
        <w:color w:val="0000CC"/>
        <w:sz w:val="12"/>
        <w:szCs w:val="12"/>
      </w:rPr>
    </w:pPr>
    <w:r w:rsidRPr="00011933">
      <w:rPr>
        <w:rFonts w:ascii="Segoe UI" w:hAnsi="Segoe UI" w:cs="Segoe UI"/>
        <w:b/>
        <w:color w:val="0000CC"/>
        <w:sz w:val="12"/>
        <w:szCs w:val="12"/>
      </w:rPr>
      <w:t>Cross Border Institution Building – CBIB+</w:t>
    </w:r>
    <w:r>
      <w:rPr>
        <w:rFonts w:ascii="Segoe UI" w:hAnsi="Segoe UI" w:cs="Segoe UI"/>
        <w:b/>
        <w:color w:val="0000CC"/>
        <w:sz w:val="12"/>
        <w:szCs w:val="12"/>
      </w:rPr>
      <w:t>2</w:t>
    </w:r>
    <w:r w:rsidRPr="00011933">
      <w:rPr>
        <w:rFonts w:ascii="Segoe UI" w:hAnsi="Segoe UI" w:cs="Segoe UI"/>
        <w:b/>
        <w:color w:val="0000CC"/>
        <w:sz w:val="12"/>
        <w:szCs w:val="12"/>
      </w:rPr>
      <w:tab/>
    </w:r>
    <w:r w:rsidRPr="00011933">
      <w:rPr>
        <w:rFonts w:ascii="Segoe UI" w:hAnsi="Segoe UI" w:cs="Segoe UI"/>
        <w:b/>
        <w:color w:val="0000CC"/>
        <w:sz w:val="12"/>
        <w:szCs w:val="12"/>
      </w:rPr>
      <w:tab/>
    </w:r>
    <w:r>
      <w:rPr>
        <w:rFonts w:ascii="Segoe UI" w:hAnsi="Segoe UI" w:cs="Segoe UI"/>
        <w:b/>
        <w:color w:val="0000CC"/>
        <w:sz w:val="12"/>
        <w:szCs w:val="12"/>
      </w:rPr>
      <w:t xml:space="preserve"> </w:t>
    </w:r>
    <w:r w:rsidRPr="00011933">
      <w:rPr>
        <w:rFonts w:ascii="Segoe UI" w:hAnsi="Segoe UI" w:cs="Segoe UI"/>
        <w:b/>
        <w:color w:val="0000CC"/>
        <w:sz w:val="12"/>
        <w:szCs w:val="12"/>
      </w:rPr>
      <w:t>This is a project</w:t>
    </w:r>
  </w:p>
  <w:p w14:paraId="1D912210" w14:textId="77777777" w:rsidR="008D1598" w:rsidRPr="00011933" w:rsidRDefault="008D1598">
    <w:pPr>
      <w:pStyle w:val="Header"/>
      <w:rPr>
        <w:rFonts w:ascii="Segoe UI" w:hAnsi="Segoe UI" w:cs="Segoe UI"/>
        <w:b/>
        <w:color w:val="0000CC"/>
        <w:sz w:val="12"/>
        <w:szCs w:val="12"/>
      </w:rPr>
    </w:pPr>
    <w:r w:rsidRPr="00011933">
      <w:rPr>
        <w:rFonts w:ascii="Segoe UI" w:hAnsi="Segoe UI" w:cs="Segoe UI"/>
        <w:b/>
        <w:color w:val="0000CC"/>
        <w:sz w:val="12"/>
        <w:szCs w:val="12"/>
      </w:rPr>
      <w:t>The IPA Multi-beneficiary Programme</w:t>
    </w:r>
    <w:r w:rsidRPr="00011933">
      <w:rPr>
        <w:rFonts w:ascii="Segoe UI" w:hAnsi="Segoe UI" w:cs="Segoe UI"/>
        <w:b/>
        <w:color w:val="0000CC"/>
        <w:sz w:val="12"/>
        <w:szCs w:val="12"/>
      </w:rPr>
      <w:tab/>
    </w:r>
    <w:r w:rsidRPr="00011933">
      <w:rPr>
        <w:rFonts w:ascii="Segoe UI" w:hAnsi="Segoe UI" w:cs="Segoe UI"/>
        <w:b/>
        <w:color w:val="0000CC"/>
        <w:sz w:val="12"/>
        <w:szCs w:val="12"/>
      </w:rPr>
      <w:tab/>
    </w:r>
    <w:r>
      <w:rPr>
        <w:rFonts w:ascii="Segoe UI" w:hAnsi="Segoe UI" w:cs="Segoe UI"/>
        <w:b/>
        <w:color w:val="0000CC"/>
        <w:sz w:val="12"/>
        <w:szCs w:val="12"/>
      </w:rPr>
      <w:t>f</w:t>
    </w:r>
    <w:r w:rsidRPr="00011933">
      <w:rPr>
        <w:rFonts w:ascii="Segoe UI" w:hAnsi="Segoe UI" w:cs="Segoe UI"/>
        <w:b/>
        <w:color w:val="0000CC"/>
        <w:sz w:val="12"/>
        <w:szCs w:val="12"/>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9653C"/>
    <w:multiLevelType w:val="hybridMultilevel"/>
    <w:tmpl w:val="D462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A1B56"/>
    <w:multiLevelType w:val="hybridMultilevel"/>
    <w:tmpl w:val="56B491A2"/>
    <w:lvl w:ilvl="0" w:tplc="04090001">
      <w:start w:val="1"/>
      <w:numFmt w:val="bullet"/>
      <w:lvlText w:val=""/>
      <w:lvlJc w:val="left"/>
      <w:pPr>
        <w:tabs>
          <w:tab w:val="num" w:pos="720"/>
        </w:tabs>
        <w:ind w:left="720" w:hanging="360"/>
      </w:pPr>
      <w:rPr>
        <w:rFonts w:ascii="Symbol" w:hAnsi="Symbol" w:hint="default"/>
      </w:rPr>
    </w:lvl>
    <w:lvl w:ilvl="1" w:tplc="EDBA99CE" w:tentative="1">
      <w:start w:val="1"/>
      <w:numFmt w:val="bullet"/>
      <w:lvlText w:val="•"/>
      <w:lvlJc w:val="left"/>
      <w:pPr>
        <w:tabs>
          <w:tab w:val="num" w:pos="1440"/>
        </w:tabs>
        <w:ind w:left="1440" w:hanging="360"/>
      </w:pPr>
      <w:rPr>
        <w:rFonts w:ascii="Arial" w:hAnsi="Arial" w:hint="default"/>
      </w:rPr>
    </w:lvl>
    <w:lvl w:ilvl="2" w:tplc="11CC34C0" w:tentative="1">
      <w:start w:val="1"/>
      <w:numFmt w:val="bullet"/>
      <w:lvlText w:val="•"/>
      <w:lvlJc w:val="left"/>
      <w:pPr>
        <w:tabs>
          <w:tab w:val="num" w:pos="2160"/>
        </w:tabs>
        <w:ind w:left="2160" w:hanging="360"/>
      </w:pPr>
      <w:rPr>
        <w:rFonts w:ascii="Arial" w:hAnsi="Arial" w:hint="default"/>
      </w:rPr>
    </w:lvl>
    <w:lvl w:ilvl="3" w:tplc="1D5CA22A" w:tentative="1">
      <w:start w:val="1"/>
      <w:numFmt w:val="bullet"/>
      <w:lvlText w:val="•"/>
      <w:lvlJc w:val="left"/>
      <w:pPr>
        <w:tabs>
          <w:tab w:val="num" w:pos="2880"/>
        </w:tabs>
        <w:ind w:left="2880" w:hanging="360"/>
      </w:pPr>
      <w:rPr>
        <w:rFonts w:ascii="Arial" w:hAnsi="Arial" w:hint="default"/>
      </w:rPr>
    </w:lvl>
    <w:lvl w:ilvl="4" w:tplc="A9FA8532" w:tentative="1">
      <w:start w:val="1"/>
      <w:numFmt w:val="bullet"/>
      <w:lvlText w:val="•"/>
      <w:lvlJc w:val="left"/>
      <w:pPr>
        <w:tabs>
          <w:tab w:val="num" w:pos="3600"/>
        </w:tabs>
        <w:ind w:left="3600" w:hanging="360"/>
      </w:pPr>
      <w:rPr>
        <w:rFonts w:ascii="Arial" w:hAnsi="Arial" w:hint="default"/>
      </w:rPr>
    </w:lvl>
    <w:lvl w:ilvl="5" w:tplc="44D8A834" w:tentative="1">
      <w:start w:val="1"/>
      <w:numFmt w:val="bullet"/>
      <w:lvlText w:val="•"/>
      <w:lvlJc w:val="left"/>
      <w:pPr>
        <w:tabs>
          <w:tab w:val="num" w:pos="4320"/>
        </w:tabs>
        <w:ind w:left="4320" w:hanging="360"/>
      </w:pPr>
      <w:rPr>
        <w:rFonts w:ascii="Arial" w:hAnsi="Arial" w:hint="default"/>
      </w:rPr>
    </w:lvl>
    <w:lvl w:ilvl="6" w:tplc="80CA3F52" w:tentative="1">
      <w:start w:val="1"/>
      <w:numFmt w:val="bullet"/>
      <w:lvlText w:val="•"/>
      <w:lvlJc w:val="left"/>
      <w:pPr>
        <w:tabs>
          <w:tab w:val="num" w:pos="5040"/>
        </w:tabs>
        <w:ind w:left="5040" w:hanging="360"/>
      </w:pPr>
      <w:rPr>
        <w:rFonts w:ascii="Arial" w:hAnsi="Arial" w:hint="default"/>
      </w:rPr>
    </w:lvl>
    <w:lvl w:ilvl="7" w:tplc="96A4A80E" w:tentative="1">
      <w:start w:val="1"/>
      <w:numFmt w:val="bullet"/>
      <w:lvlText w:val="•"/>
      <w:lvlJc w:val="left"/>
      <w:pPr>
        <w:tabs>
          <w:tab w:val="num" w:pos="5760"/>
        </w:tabs>
        <w:ind w:left="5760" w:hanging="360"/>
      </w:pPr>
      <w:rPr>
        <w:rFonts w:ascii="Arial" w:hAnsi="Arial" w:hint="default"/>
      </w:rPr>
    </w:lvl>
    <w:lvl w:ilvl="8" w:tplc="B3623C26" w:tentative="1">
      <w:start w:val="1"/>
      <w:numFmt w:val="bullet"/>
      <w:lvlText w:val="•"/>
      <w:lvlJc w:val="left"/>
      <w:pPr>
        <w:tabs>
          <w:tab w:val="num" w:pos="6480"/>
        </w:tabs>
        <w:ind w:left="6480" w:hanging="360"/>
      </w:pPr>
      <w:rPr>
        <w:rFonts w:ascii="Arial" w:hAnsi="Arial" w:hint="default"/>
      </w:rPr>
    </w:lvl>
  </w:abstractNum>
  <w:abstractNum w:abstractNumId="3">
    <w:nsid w:val="142A3663"/>
    <w:multiLevelType w:val="hybridMultilevel"/>
    <w:tmpl w:val="3EA2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F40B4E"/>
    <w:multiLevelType w:val="hybridMultilevel"/>
    <w:tmpl w:val="F6523830"/>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22D20206"/>
    <w:multiLevelType w:val="hybridMultilevel"/>
    <w:tmpl w:val="5414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B5FD0"/>
    <w:multiLevelType w:val="hybridMultilevel"/>
    <w:tmpl w:val="119E161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22160"/>
    <w:multiLevelType w:val="hybridMultilevel"/>
    <w:tmpl w:val="6CEC32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46E6B57"/>
    <w:multiLevelType w:val="hybridMultilevel"/>
    <w:tmpl w:val="463CB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E47D93"/>
    <w:multiLevelType w:val="hybridMultilevel"/>
    <w:tmpl w:val="11589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C26D6"/>
    <w:multiLevelType w:val="hybridMultilevel"/>
    <w:tmpl w:val="2B54B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31505A"/>
    <w:multiLevelType w:val="hybridMultilevel"/>
    <w:tmpl w:val="818095E4"/>
    <w:lvl w:ilvl="0" w:tplc="EF66BB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C7829BB"/>
    <w:multiLevelType w:val="hybridMultilevel"/>
    <w:tmpl w:val="3C56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527FAA"/>
    <w:multiLevelType w:val="hybridMultilevel"/>
    <w:tmpl w:val="DD94F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4A5723"/>
    <w:multiLevelType w:val="hybridMultilevel"/>
    <w:tmpl w:val="3F4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1A68A0"/>
    <w:multiLevelType w:val="hybridMultilevel"/>
    <w:tmpl w:val="1568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41F1E"/>
    <w:multiLevelType w:val="hybridMultilevel"/>
    <w:tmpl w:val="08C836E8"/>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486285"/>
    <w:multiLevelType w:val="hybridMultilevel"/>
    <w:tmpl w:val="99B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5"/>
  </w:num>
  <w:num w:numId="4">
    <w:abstractNumId w:val="0"/>
  </w:num>
  <w:num w:numId="5">
    <w:abstractNumId w:val="28"/>
  </w:num>
  <w:num w:numId="6">
    <w:abstractNumId w:val="15"/>
  </w:num>
  <w:num w:numId="7">
    <w:abstractNumId w:val="21"/>
  </w:num>
  <w:num w:numId="8">
    <w:abstractNumId w:val="26"/>
  </w:num>
  <w:num w:numId="9">
    <w:abstractNumId w:val="8"/>
  </w:num>
  <w:num w:numId="10">
    <w:abstractNumId w:val="14"/>
  </w:num>
  <w:num w:numId="11">
    <w:abstractNumId w:val="19"/>
  </w:num>
  <w:num w:numId="12">
    <w:abstractNumId w:val="24"/>
  </w:num>
  <w:num w:numId="13">
    <w:abstractNumId w:val="9"/>
  </w:num>
  <w:num w:numId="14">
    <w:abstractNumId w:val="20"/>
  </w:num>
  <w:num w:numId="15">
    <w:abstractNumId w:val="13"/>
  </w:num>
  <w:num w:numId="16">
    <w:abstractNumId w:val="6"/>
  </w:num>
  <w:num w:numId="17">
    <w:abstractNumId w:val="22"/>
  </w:num>
  <w:num w:numId="18">
    <w:abstractNumId w:val="7"/>
  </w:num>
  <w:num w:numId="19">
    <w:abstractNumId w:val="29"/>
  </w:num>
  <w:num w:numId="20">
    <w:abstractNumId w:val="16"/>
  </w:num>
  <w:num w:numId="21">
    <w:abstractNumId w:val="2"/>
  </w:num>
  <w:num w:numId="22">
    <w:abstractNumId w:val="27"/>
  </w:num>
  <w:num w:numId="23">
    <w:abstractNumId w:val="1"/>
  </w:num>
  <w:num w:numId="24">
    <w:abstractNumId w:val="3"/>
  </w:num>
  <w:num w:numId="25">
    <w:abstractNumId w:val="5"/>
  </w:num>
  <w:num w:numId="26">
    <w:abstractNumId w:val="10"/>
  </w:num>
  <w:num w:numId="27">
    <w:abstractNumId w:val="17"/>
  </w:num>
  <w:num w:numId="28">
    <w:abstractNumId w:val="12"/>
  </w:num>
  <w:num w:numId="29">
    <w:abstractNumId w:val="23"/>
  </w:num>
  <w:num w:numId="3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s">
    <w15:presenceInfo w15:providerId="None" w15:userId="Vasi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2E"/>
    <w:rsid w:val="00006265"/>
    <w:rsid w:val="00011933"/>
    <w:rsid w:val="00025FB1"/>
    <w:rsid w:val="00030328"/>
    <w:rsid w:val="00034ADA"/>
    <w:rsid w:val="000350BF"/>
    <w:rsid w:val="0005344F"/>
    <w:rsid w:val="00070842"/>
    <w:rsid w:val="00070F61"/>
    <w:rsid w:val="00071945"/>
    <w:rsid w:val="0007785F"/>
    <w:rsid w:val="000A4CDC"/>
    <w:rsid w:val="000B32E1"/>
    <w:rsid w:val="000B69AA"/>
    <w:rsid w:val="000C3BE5"/>
    <w:rsid w:val="000D09BF"/>
    <w:rsid w:val="000D0BAF"/>
    <w:rsid w:val="000E2D94"/>
    <w:rsid w:val="0010214A"/>
    <w:rsid w:val="00102C89"/>
    <w:rsid w:val="00104B1B"/>
    <w:rsid w:val="0011592C"/>
    <w:rsid w:val="00136050"/>
    <w:rsid w:val="0016025F"/>
    <w:rsid w:val="00160D36"/>
    <w:rsid w:val="001762F5"/>
    <w:rsid w:val="00182275"/>
    <w:rsid w:val="001A5677"/>
    <w:rsid w:val="001A78E5"/>
    <w:rsid w:val="001C590C"/>
    <w:rsid w:val="001C739D"/>
    <w:rsid w:val="001D4204"/>
    <w:rsid w:val="001F3A77"/>
    <w:rsid w:val="001F73D4"/>
    <w:rsid w:val="0021108D"/>
    <w:rsid w:val="0021340A"/>
    <w:rsid w:val="00213922"/>
    <w:rsid w:val="00213C1E"/>
    <w:rsid w:val="00216F80"/>
    <w:rsid w:val="002210C8"/>
    <w:rsid w:val="002326D3"/>
    <w:rsid w:val="00233DE9"/>
    <w:rsid w:val="00237AA5"/>
    <w:rsid w:val="00244C95"/>
    <w:rsid w:val="00256FBE"/>
    <w:rsid w:val="0026316B"/>
    <w:rsid w:val="002636E1"/>
    <w:rsid w:val="00270379"/>
    <w:rsid w:val="00283A0F"/>
    <w:rsid w:val="00287375"/>
    <w:rsid w:val="002947C4"/>
    <w:rsid w:val="002963C6"/>
    <w:rsid w:val="002A38E7"/>
    <w:rsid w:val="002A5C7B"/>
    <w:rsid w:val="002A7E66"/>
    <w:rsid w:val="002B2501"/>
    <w:rsid w:val="002B7C4D"/>
    <w:rsid w:val="002D669B"/>
    <w:rsid w:val="002E0A19"/>
    <w:rsid w:val="002F3DD8"/>
    <w:rsid w:val="002F6216"/>
    <w:rsid w:val="0030121C"/>
    <w:rsid w:val="00304CE3"/>
    <w:rsid w:val="00307BCB"/>
    <w:rsid w:val="00321E1B"/>
    <w:rsid w:val="00330BE1"/>
    <w:rsid w:val="00342E98"/>
    <w:rsid w:val="003565F5"/>
    <w:rsid w:val="003602DF"/>
    <w:rsid w:val="003663E2"/>
    <w:rsid w:val="003713A9"/>
    <w:rsid w:val="00380EA5"/>
    <w:rsid w:val="00396D15"/>
    <w:rsid w:val="00397AEB"/>
    <w:rsid w:val="003C1973"/>
    <w:rsid w:val="003C3D2B"/>
    <w:rsid w:val="003C6464"/>
    <w:rsid w:val="003D5EA3"/>
    <w:rsid w:val="003D6756"/>
    <w:rsid w:val="003E3046"/>
    <w:rsid w:val="003F0C3E"/>
    <w:rsid w:val="003F0E4F"/>
    <w:rsid w:val="0040203F"/>
    <w:rsid w:val="0040607E"/>
    <w:rsid w:val="004147EB"/>
    <w:rsid w:val="004415F0"/>
    <w:rsid w:val="00445BB1"/>
    <w:rsid w:val="004461CF"/>
    <w:rsid w:val="004548AE"/>
    <w:rsid w:val="004663AC"/>
    <w:rsid w:val="004877ED"/>
    <w:rsid w:val="004A534B"/>
    <w:rsid w:val="004A67DC"/>
    <w:rsid w:val="004B5BFC"/>
    <w:rsid w:val="004B692E"/>
    <w:rsid w:val="004D18F0"/>
    <w:rsid w:val="004F0FEC"/>
    <w:rsid w:val="004F27E5"/>
    <w:rsid w:val="004F3D16"/>
    <w:rsid w:val="0050514A"/>
    <w:rsid w:val="00505EA9"/>
    <w:rsid w:val="00513E29"/>
    <w:rsid w:val="00525548"/>
    <w:rsid w:val="00534518"/>
    <w:rsid w:val="0054050D"/>
    <w:rsid w:val="00555EC6"/>
    <w:rsid w:val="005620C6"/>
    <w:rsid w:val="00563257"/>
    <w:rsid w:val="00572EB8"/>
    <w:rsid w:val="00575EAA"/>
    <w:rsid w:val="00577314"/>
    <w:rsid w:val="0058767D"/>
    <w:rsid w:val="00587D77"/>
    <w:rsid w:val="0059038B"/>
    <w:rsid w:val="005A3B97"/>
    <w:rsid w:val="005B1438"/>
    <w:rsid w:val="005B509C"/>
    <w:rsid w:val="005B75C8"/>
    <w:rsid w:val="005C0ECB"/>
    <w:rsid w:val="005C5BA8"/>
    <w:rsid w:val="005D3452"/>
    <w:rsid w:val="005D4D2F"/>
    <w:rsid w:val="005F17AA"/>
    <w:rsid w:val="005F6847"/>
    <w:rsid w:val="006246F4"/>
    <w:rsid w:val="00637B11"/>
    <w:rsid w:val="006437EF"/>
    <w:rsid w:val="006464F1"/>
    <w:rsid w:val="0064780D"/>
    <w:rsid w:val="00652508"/>
    <w:rsid w:val="00661623"/>
    <w:rsid w:val="006626C0"/>
    <w:rsid w:val="006657B1"/>
    <w:rsid w:val="00675EFC"/>
    <w:rsid w:val="006804B0"/>
    <w:rsid w:val="006A1698"/>
    <w:rsid w:val="006A29EF"/>
    <w:rsid w:val="006A3192"/>
    <w:rsid w:val="006B4838"/>
    <w:rsid w:val="006B5D87"/>
    <w:rsid w:val="006C1E41"/>
    <w:rsid w:val="006E3EB4"/>
    <w:rsid w:val="007054D8"/>
    <w:rsid w:val="00707123"/>
    <w:rsid w:val="00712BCB"/>
    <w:rsid w:val="007226BC"/>
    <w:rsid w:val="007320AA"/>
    <w:rsid w:val="00745508"/>
    <w:rsid w:val="00746141"/>
    <w:rsid w:val="00746984"/>
    <w:rsid w:val="00761C99"/>
    <w:rsid w:val="00770F92"/>
    <w:rsid w:val="00772342"/>
    <w:rsid w:val="007804F1"/>
    <w:rsid w:val="00782BD5"/>
    <w:rsid w:val="00790F9C"/>
    <w:rsid w:val="007917E2"/>
    <w:rsid w:val="007940E4"/>
    <w:rsid w:val="00797E8A"/>
    <w:rsid w:val="007A5DE7"/>
    <w:rsid w:val="007A70AA"/>
    <w:rsid w:val="007B05C8"/>
    <w:rsid w:val="007E28DD"/>
    <w:rsid w:val="007E6952"/>
    <w:rsid w:val="007F638E"/>
    <w:rsid w:val="00806BC6"/>
    <w:rsid w:val="00822FF8"/>
    <w:rsid w:val="008262B5"/>
    <w:rsid w:val="00827BA7"/>
    <w:rsid w:val="00830D3C"/>
    <w:rsid w:val="00841E5F"/>
    <w:rsid w:val="00844641"/>
    <w:rsid w:val="00847617"/>
    <w:rsid w:val="00880200"/>
    <w:rsid w:val="00883437"/>
    <w:rsid w:val="008964DB"/>
    <w:rsid w:val="008A74A5"/>
    <w:rsid w:val="008A79D0"/>
    <w:rsid w:val="008B0493"/>
    <w:rsid w:val="008B67E2"/>
    <w:rsid w:val="008D1598"/>
    <w:rsid w:val="008D3587"/>
    <w:rsid w:val="008E1312"/>
    <w:rsid w:val="008F07FE"/>
    <w:rsid w:val="009155E0"/>
    <w:rsid w:val="00922958"/>
    <w:rsid w:val="00925EE9"/>
    <w:rsid w:val="00955510"/>
    <w:rsid w:val="00964883"/>
    <w:rsid w:val="00987288"/>
    <w:rsid w:val="009B28F7"/>
    <w:rsid w:val="009C14C0"/>
    <w:rsid w:val="009C77AC"/>
    <w:rsid w:val="009D0826"/>
    <w:rsid w:val="009D0DBF"/>
    <w:rsid w:val="009D1DDB"/>
    <w:rsid w:val="009D2162"/>
    <w:rsid w:val="009E0418"/>
    <w:rsid w:val="009E07F6"/>
    <w:rsid w:val="009E50D7"/>
    <w:rsid w:val="009F1CF7"/>
    <w:rsid w:val="00A06CC6"/>
    <w:rsid w:val="00A265C3"/>
    <w:rsid w:val="00A275AB"/>
    <w:rsid w:val="00A30881"/>
    <w:rsid w:val="00A4540C"/>
    <w:rsid w:val="00A622E9"/>
    <w:rsid w:val="00A86342"/>
    <w:rsid w:val="00AA3883"/>
    <w:rsid w:val="00AB398D"/>
    <w:rsid w:val="00AB63F0"/>
    <w:rsid w:val="00AC31FA"/>
    <w:rsid w:val="00AC7B98"/>
    <w:rsid w:val="00AD13C1"/>
    <w:rsid w:val="00AD363E"/>
    <w:rsid w:val="00AE657A"/>
    <w:rsid w:val="00B1331C"/>
    <w:rsid w:val="00B24A89"/>
    <w:rsid w:val="00B27E4F"/>
    <w:rsid w:val="00B36F80"/>
    <w:rsid w:val="00B41573"/>
    <w:rsid w:val="00B55049"/>
    <w:rsid w:val="00B5536B"/>
    <w:rsid w:val="00B64A8B"/>
    <w:rsid w:val="00B867F5"/>
    <w:rsid w:val="00BB0C1F"/>
    <w:rsid w:val="00BB2A4A"/>
    <w:rsid w:val="00BE11B6"/>
    <w:rsid w:val="00C063EB"/>
    <w:rsid w:val="00C124BC"/>
    <w:rsid w:val="00C1315C"/>
    <w:rsid w:val="00C13423"/>
    <w:rsid w:val="00C13DCC"/>
    <w:rsid w:val="00C204B1"/>
    <w:rsid w:val="00C26546"/>
    <w:rsid w:val="00C3060E"/>
    <w:rsid w:val="00C30B0B"/>
    <w:rsid w:val="00C34344"/>
    <w:rsid w:val="00C37EA7"/>
    <w:rsid w:val="00C47C99"/>
    <w:rsid w:val="00C503A2"/>
    <w:rsid w:val="00C639E8"/>
    <w:rsid w:val="00C766DE"/>
    <w:rsid w:val="00C77C1E"/>
    <w:rsid w:val="00CA427D"/>
    <w:rsid w:val="00CA5083"/>
    <w:rsid w:val="00CB288D"/>
    <w:rsid w:val="00CB2A95"/>
    <w:rsid w:val="00CC0706"/>
    <w:rsid w:val="00CE14A1"/>
    <w:rsid w:val="00D429E8"/>
    <w:rsid w:val="00D432E8"/>
    <w:rsid w:val="00D43382"/>
    <w:rsid w:val="00D440AE"/>
    <w:rsid w:val="00D56DEC"/>
    <w:rsid w:val="00D65C24"/>
    <w:rsid w:val="00D8381B"/>
    <w:rsid w:val="00D93B7A"/>
    <w:rsid w:val="00DA7F17"/>
    <w:rsid w:val="00DB22C5"/>
    <w:rsid w:val="00DB2F91"/>
    <w:rsid w:val="00DB5586"/>
    <w:rsid w:val="00DB76C2"/>
    <w:rsid w:val="00DC4BB1"/>
    <w:rsid w:val="00DD2835"/>
    <w:rsid w:val="00DD2A32"/>
    <w:rsid w:val="00DD3B7C"/>
    <w:rsid w:val="00DE20F0"/>
    <w:rsid w:val="00DF038B"/>
    <w:rsid w:val="00E02D54"/>
    <w:rsid w:val="00E053BF"/>
    <w:rsid w:val="00E114E8"/>
    <w:rsid w:val="00E12D31"/>
    <w:rsid w:val="00E12DCA"/>
    <w:rsid w:val="00E236C2"/>
    <w:rsid w:val="00E24C40"/>
    <w:rsid w:val="00E30054"/>
    <w:rsid w:val="00E34E01"/>
    <w:rsid w:val="00E351E0"/>
    <w:rsid w:val="00E41FF7"/>
    <w:rsid w:val="00E4580E"/>
    <w:rsid w:val="00E653BC"/>
    <w:rsid w:val="00E677A5"/>
    <w:rsid w:val="00E90513"/>
    <w:rsid w:val="00EA621D"/>
    <w:rsid w:val="00EB74D6"/>
    <w:rsid w:val="00EC14D0"/>
    <w:rsid w:val="00EE15B2"/>
    <w:rsid w:val="00EE45A0"/>
    <w:rsid w:val="00EE47B0"/>
    <w:rsid w:val="00F15F7C"/>
    <w:rsid w:val="00F20ABA"/>
    <w:rsid w:val="00F217A1"/>
    <w:rsid w:val="00F373A0"/>
    <w:rsid w:val="00F44A85"/>
    <w:rsid w:val="00F5038C"/>
    <w:rsid w:val="00F7011E"/>
    <w:rsid w:val="00F86227"/>
    <w:rsid w:val="00F8760A"/>
    <w:rsid w:val="00F91A69"/>
    <w:rsid w:val="00FA7C9B"/>
    <w:rsid w:val="00FB5507"/>
    <w:rsid w:val="00FB6718"/>
    <w:rsid w:val="00FD31DF"/>
    <w:rsid w:val="00FE2005"/>
    <w:rsid w:val="00FE268A"/>
    <w:rsid w:val="00FE3763"/>
    <w:rsid w:val="00FE6BE9"/>
    <w:rsid w:val="00FF3A9E"/>
    <w:rsid w:val="00FF62D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9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14C0"/>
    <w:rPr>
      <w:color w:val="800080" w:themeColor="followedHyperlink"/>
      <w:u w:val="single"/>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102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uiPriority w:val="20"/>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14C0"/>
    <w:rPr>
      <w:color w:val="800080" w:themeColor="followedHyperlink"/>
      <w:u w:val="single"/>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10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2546">
      <w:bodyDiv w:val="1"/>
      <w:marLeft w:val="0"/>
      <w:marRight w:val="0"/>
      <w:marTop w:val="0"/>
      <w:marBottom w:val="0"/>
      <w:divBdr>
        <w:top w:val="none" w:sz="0" w:space="0" w:color="auto"/>
        <w:left w:val="none" w:sz="0" w:space="0" w:color="auto"/>
        <w:bottom w:val="none" w:sz="0" w:space="0" w:color="auto"/>
        <w:right w:val="none" w:sz="0" w:space="0" w:color="auto"/>
      </w:divBdr>
      <w:divsChild>
        <w:div w:id="957951211">
          <w:marLeft w:val="0"/>
          <w:marRight w:val="0"/>
          <w:marTop w:val="0"/>
          <w:marBottom w:val="0"/>
          <w:divBdr>
            <w:top w:val="none" w:sz="0" w:space="0" w:color="auto"/>
            <w:left w:val="none" w:sz="0" w:space="0" w:color="auto"/>
            <w:bottom w:val="none" w:sz="0" w:space="0" w:color="auto"/>
            <w:right w:val="none" w:sz="0" w:space="0" w:color="auto"/>
          </w:divBdr>
        </w:div>
        <w:div w:id="1035155875">
          <w:marLeft w:val="0"/>
          <w:marRight w:val="0"/>
          <w:marTop w:val="0"/>
          <w:marBottom w:val="0"/>
          <w:divBdr>
            <w:top w:val="none" w:sz="0" w:space="0" w:color="auto"/>
            <w:left w:val="none" w:sz="0" w:space="0" w:color="auto"/>
            <w:bottom w:val="none" w:sz="0" w:space="0" w:color="auto"/>
            <w:right w:val="none" w:sz="0" w:space="0" w:color="auto"/>
          </w:divBdr>
        </w:div>
        <w:div w:id="975719690">
          <w:marLeft w:val="0"/>
          <w:marRight w:val="0"/>
          <w:marTop w:val="0"/>
          <w:marBottom w:val="0"/>
          <w:divBdr>
            <w:top w:val="none" w:sz="0" w:space="0" w:color="auto"/>
            <w:left w:val="none" w:sz="0" w:space="0" w:color="auto"/>
            <w:bottom w:val="none" w:sz="0" w:space="0" w:color="auto"/>
            <w:right w:val="none" w:sz="0" w:space="0" w:color="auto"/>
          </w:divBdr>
        </w:div>
        <w:div w:id="88820301">
          <w:marLeft w:val="0"/>
          <w:marRight w:val="0"/>
          <w:marTop w:val="0"/>
          <w:marBottom w:val="0"/>
          <w:divBdr>
            <w:top w:val="none" w:sz="0" w:space="0" w:color="auto"/>
            <w:left w:val="none" w:sz="0" w:space="0" w:color="auto"/>
            <w:bottom w:val="none" w:sz="0" w:space="0" w:color="auto"/>
            <w:right w:val="none" w:sz="0" w:space="0" w:color="auto"/>
          </w:divBdr>
        </w:div>
        <w:div w:id="162673998">
          <w:marLeft w:val="0"/>
          <w:marRight w:val="0"/>
          <w:marTop w:val="0"/>
          <w:marBottom w:val="0"/>
          <w:divBdr>
            <w:top w:val="none" w:sz="0" w:space="0" w:color="auto"/>
            <w:left w:val="none" w:sz="0" w:space="0" w:color="auto"/>
            <w:bottom w:val="none" w:sz="0" w:space="0" w:color="auto"/>
            <w:right w:val="none" w:sz="0" w:space="0" w:color="auto"/>
          </w:divBdr>
        </w:div>
        <w:div w:id="420757893">
          <w:marLeft w:val="0"/>
          <w:marRight w:val="0"/>
          <w:marTop w:val="0"/>
          <w:marBottom w:val="0"/>
          <w:divBdr>
            <w:top w:val="none" w:sz="0" w:space="0" w:color="auto"/>
            <w:left w:val="none" w:sz="0" w:space="0" w:color="auto"/>
            <w:bottom w:val="none" w:sz="0" w:space="0" w:color="auto"/>
            <w:right w:val="none" w:sz="0" w:space="0" w:color="auto"/>
          </w:divBdr>
        </w:div>
        <w:div w:id="585843861">
          <w:marLeft w:val="0"/>
          <w:marRight w:val="0"/>
          <w:marTop w:val="0"/>
          <w:marBottom w:val="0"/>
          <w:divBdr>
            <w:top w:val="none" w:sz="0" w:space="0" w:color="auto"/>
            <w:left w:val="none" w:sz="0" w:space="0" w:color="auto"/>
            <w:bottom w:val="none" w:sz="0" w:space="0" w:color="auto"/>
            <w:right w:val="none" w:sz="0" w:space="0" w:color="auto"/>
          </w:divBdr>
        </w:div>
        <w:div w:id="721946856">
          <w:marLeft w:val="0"/>
          <w:marRight w:val="0"/>
          <w:marTop w:val="0"/>
          <w:marBottom w:val="0"/>
          <w:divBdr>
            <w:top w:val="none" w:sz="0" w:space="0" w:color="auto"/>
            <w:left w:val="none" w:sz="0" w:space="0" w:color="auto"/>
            <w:bottom w:val="none" w:sz="0" w:space="0" w:color="auto"/>
            <w:right w:val="none" w:sz="0" w:space="0" w:color="auto"/>
          </w:divBdr>
        </w:div>
        <w:div w:id="862011138">
          <w:marLeft w:val="0"/>
          <w:marRight w:val="0"/>
          <w:marTop w:val="0"/>
          <w:marBottom w:val="0"/>
          <w:divBdr>
            <w:top w:val="none" w:sz="0" w:space="0" w:color="auto"/>
            <w:left w:val="none" w:sz="0" w:space="0" w:color="auto"/>
            <w:bottom w:val="none" w:sz="0" w:space="0" w:color="auto"/>
            <w:right w:val="none" w:sz="0" w:space="0" w:color="auto"/>
          </w:divBdr>
        </w:div>
        <w:div w:id="1405571841">
          <w:marLeft w:val="0"/>
          <w:marRight w:val="0"/>
          <w:marTop w:val="0"/>
          <w:marBottom w:val="0"/>
          <w:divBdr>
            <w:top w:val="none" w:sz="0" w:space="0" w:color="auto"/>
            <w:left w:val="none" w:sz="0" w:space="0" w:color="auto"/>
            <w:bottom w:val="none" w:sz="0" w:space="0" w:color="auto"/>
            <w:right w:val="none" w:sz="0" w:space="0" w:color="auto"/>
          </w:divBdr>
        </w:div>
        <w:div w:id="1736002815">
          <w:marLeft w:val="0"/>
          <w:marRight w:val="0"/>
          <w:marTop w:val="0"/>
          <w:marBottom w:val="0"/>
          <w:divBdr>
            <w:top w:val="none" w:sz="0" w:space="0" w:color="auto"/>
            <w:left w:val="none" w:sz="0" w:space="0" w:color="auto"/>
            <w:bottom w:val="none" w:sz="0" w:space="0" w:color="auto"/>
            <w:right w:val="none" w:sz="0" w:space="0" w:color="auto"/>
          </w:divBdr>
        </w:div>
      </w:divsChild>
    </w:div>
    <w:div w:id="127210519">
      <w:bodyDiv w:val="1"/>
      <w:marLeft w:val="0"/>
      <w:marRight w:val="0"/>
      <w:marTop w:val="0"/>
      <w:marBottom w:val="0"/>
      <w:divBdr>
        <w:top w:val="none" w:sz="0" w:space="0" w:color="auto"/>
        <w:left w:val="none" w:sz="0" w:space="0" w:color="auto"/>
        <w:bottom w:val="none" w:sz="0" w:space="0" w:color="auto"/>
        <w:right w:val="none" w:sz="0" w:space="0" w:color="auto"/>
      </w:divBdr>
    </w:div>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5487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6E6E-9AEB-4C10-AC2E-E080ADBE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1760</Words>
  <Characters>10038</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International Services</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aguaden</cp:lastModifiedBy>
  <cp:revision>5</cp:revision>
  <cp:lastPrinted>2017-01-26T14:13:00Z</cp:lastPrinted>
  <dcterms:created xsi:type="dcterms:W3CDTF">2017-10-11T09:44:00Z</dcterms:created>
  <dcterms:modified xsi:type="dcterms:W3CDTF">2017-10-11T14:48:00Z</dcterms:modified>
</cp:coreProperties>
</file>