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B1" w:rsidRDefault="00DC4BB1" w:rsidP="003663E2">
      <w:pPr>
        <w:spacing w:after="0" w:line="240" w:lineRule="auto"/>
        <w:rPr>
          <w:rFonts w:ascii="Arial" w:hAnsi="Arial" w:cs="Arial"/>
          <w:sz w:val="24"/>
          <w:szCs w:val="24"/>
          <w:lang w:val="en-US"/>
        </w:rPr>
      </w:pPr>
    </w:p>
    <w:p w:rsidR="003663E2" w:rsidRDefault="003663E2" w:rsidP="003663E2">
      <w:pPr>
        <w:spacing w:after="0" w:line="240" w:lineRule="auto"/>
        <w:rPr>
          <w:rFonts w:ascii="Arial" w:hAnsi="Arial" w:cs="Arial"/>
          <w:sz w:val="24"/>
          <w:szCs w:val="24"/>
          <w:lang w:val="en-US"/>
        </w:rPr>
      </w:pPr>
    </w:p>
    <w:p w:rsidR="003663E2" w:rsidRDefault="003663E2" w:rsidP="003663E2">
      <w:pPr>
        <w:spacing w:after="0" w:line="240" w:lineRule="auto"/>
        <w:rPr>
          <w:rFonts w:ascii="Arial" w:hAnsi="Arial" w:cs="Arial"/>
          <w:sz w:val="24"/>
          <w:szCs w:val="24"/>
          <w:lang w:val="en-US"/>
        </w:rPr>
      </w:pPr>
    </w:p>
    <w:p w:rsidR="00DF6889" w:rsidRDefault="00DF6889" w:rsidP="00DF6889">
      <w:pPr>
        <w:jc w:val="center"/>
        <w:rPr>
          <w:rFonts w:ascii="Arial" w:hAnsi="Arial" w:cs="Arial"/>
          <w:b/>
          <w:sz w:val="28"/>
        </w:rPr>
      </w:pPr>
    </w:p>
    <w:p w:rsidR="00DF6889" w:rsidRDefault="00DF6889" w:rsidP="00DF6889">
      <w:pPr>
        <w:jc w:val="center"/>
        <w:rPr>
          <w:rFonts w:ascii="Arial" w:hAnsi="Arial" w:cs="Arial"/>
          <w:b/>
          <w:sz w:val="28"/>
        </w:rPr>
      </w:pPr>
    </w:p>
    <w:p w:rsidR="00DF6889" w:rsidRDefault="00DF6889" w:rsidP="00DF6889">
      <w:pPr>
        <w:jc w:val="center"/>
        <w:rPr>
          <w:rFonts w:ascii="Arial" w:hAnsi="Arial" w:cs="Arial"/>
          <w:b/>
          <w:sz w:val="28"/>
        </w:rPr>
      </w:pPr>
    </w:p>
    <w:p w:rsidR="00DF6889" w:rsidRDefault="00DF6889" w:rsidP="00DF6889">
      <w:pPr>
        <w:jc w:val="center"/>
        <w:rPr>
          <w:rFonts w:ascii="Arial" w:hAnsi="Arial" w:cs="Arial"/>
          <w:b/>
          <w:sz w:val="28"/>
        </w:rPr>
      </w:pPr>
    </w:p>
    <w:p w:rsidR="00DF6889" w:rsidRDefault="00DF6889" w:rsidP="00DF6889">
      <w:pPr>
        <w:jc w:val="center"/>
        <w:rPr>
          <w:rFonts w:ascii="Arial" w:hAnsi="Arial" w:cs="Arial"/>
          <w:b/>
          <w:sz w:val="28"/>
        </w:rPr>
      </w:pPr>
    </w:p>
    <w:p w:rsidR="00DF6889" w:rsidRPr="00066EDC" w:rsidRDefault="00DF6889" w:rsidP="00DF6889">
      <w:pPr>
        <w:jc w:val="center"/>
        <w:rPr>
          <w:rFonts w:ascii="Arial" w:hAnsi="Arial" w:cs="Arial"/>
          <w:b/>
          <w:sz w:val="28"/>
        </w:rPr>
      </w:pPr>
    </w:p>
    <w:p w:rsidR="00DF6889" w:rsidRPr="00066EDC" w:rsidRDefault="00DF6889" w:rsidP="00DF6889">
      <w:pPr>
        <w:jc w:val="center"/>
        <w:rPr>
          <w:rFonts w:ascii="Arial" w:hAnsi="Arial" w:cs="Arial"/>
          <w:b/>
          <w:sz w:val="28"/>
        </w:rPr>
      </w:pPr>
    </w:p>
    <w:p w:rsidR="00DF6889" w:rsidRPr="00066EDC" w:rsidRDefault="00DF6889" w:rsidP="00DF6889">
      <w:pPr>
        <w:jc w:val="center"/>
        <w:rPr>
          <w:rFonts w:ascii="Arial" w:hAnsi="Arial" w:cs="Arial"/>
          <w:b/>
          <w:sz w:val="28"/>
        </w:rPr>
      </w:pPr>
      <w:r w:rsidRPr="00066EDC">
        <w:rPr>
          <w:rFonts w:ascii="Arial" w:hAnsi="Arial" w:cs="Arial"/>
          <w:b/>
          <w:sz w:val="28"/>
        </w:rPr>
        <w:t>STRATEGY FOR EXPLOITING LESSONS AND SYNERGIES</w:t>
      </w:r>
    </w:p>
    <w:p w:rsidR="00DF6889" w:rsidRPr="00066EDC" w:rsidRDefault="00DF6889" w:rsidP="00DF6889">
      <w:pPr>
        <w:jc w:val="center"/>
        <w:rPr>
          <w:rFonts w:ascii="Arial" w:hAnsi="Arial" w:cs="Arial"/>
          <w:b/>
          <w:sz w:val="28"/>
        </w:rPr>
      </w:pPr>
    </w:p>
    <w:p w:rsidR="00DF6889" w:rsidRPr="00066EDC" w:rsidRDefault="00DF6889" w:rsidP="00DF6889">
      <w:pPr>
        <w:jc w:val="center"/>
        <w:rPr>
          <w:rFonts w:ascii="Arial" w:hAnsi="Arial" w:cs="Arial"/>
          <w:b/>
          <w:sz w:val="28"/>
        </w:rPr>
      </w:pPr>
    </w:p>
    <w:p w:rsidR="00DF6889" w:rsidRPr="00066EDC" w:rsidRDefault="00375636" w:rsidP="00DF6889">
      <w:pPr>
        <w:jc w:val="center"/>
        <w:rPr>
          <w:rFonts w:ascii="Arial" w:hAnsi="Arial" w:cs="Arial"/>
          <w:b/>
          <w:sz w:val="28"/>
        </w:rPr>
      </w:pPr>
      <w:r>
        <w:rPr>
          <w:rFonts w:ascii="Arial" w:hAnsi="Arial" w:cs="Arial"/>
          <w:b/>
          <w:sz w:val="28"/>
        </w:rPr>
        <w:t>February 2017</w:t>
      </w:r>
    </w:p>
    <w:p w:rsidR="003663E2" w:rsidRDefault="00383948" w:rsidP="00AD550B">
      <w:pPr>
        <w:spacing w:after="0" w:line="240" w:lineRule="auto"/>
        <w:jc w:val="center"/>
        <w:rPr>
          <w:rFonts w:ascii="Arial" w:hAnsi="Arial" w:cs="Arial"/>
          <w:sz w:val="24"/>
          <w:szCs w:val="24"/>
          <w:lang w:val="en-US"/>
        </w:rPr>
      </w:pPr>
      <w:r>
        <w:rPr>
          <w:rFonts w:ascii="Arial" w:hAnsi="Arial" w:cs="Arial"/>
          <w:sz w:val="24"/>
          <w:szCs w:val="24"/>
          <w:lang w:val="en-US"/>
        </w:rPr>
        <w:t>3</w:t>
      </w:r>
      <w:r>
        <w:rPr>
          <w:rFonts w:ascii="Arial" w:hAnsi="Arial" w:cs="Arial"/>
          <w:sz w:val="24"/>
          <w:szCs w:val="24"/>
          <w:vertAlign w:val="superscript"/>
          <w:lang w:val="en-US"/>
        </w:rPr>
        <w:t>rd</w:t>
      </w:r>
      <w:r w:rsidR="00AD550B">
        <w:rPr>
          <w:rFonts w:ascii="Arial" w:hAnsi="Arial" w:cs="Arial"/>
          <w:sz w:val="24"/>
          <w:szCs w:val="24"/>
          <w:lang w:val="en-US"/>
        </w:rPr>
        <w:t xml:space="preserve"> </w:t>
      </w:r>
      <w:r w:rsidR="001B4C66">
        <w:rPr>
          <w:rFonts w:ascii="Arial" w:hAnsi="Arial" w:cs="Arial"/>
          <w:sz w:val="24"/>
          <w:szCs w:val="24"/>
          <w:lang w:val="en-US"/>
        </w:rPr>
        <w:t xml:space="preserve">official </w:t>
      </w:r>
      <w:r w:rsidR="00AD550B">
        <w:rPr>
          <w:rFonts w:ascii="Arial" w:hAnsi="Arial" w:cs="Arial"/>
          <w:sz w:val="24"/>
          <w:szCs w:val="24"/>
          <w:lang w:val="en-US"/>
        </w:rPr>
        <w:t>version</w:t>
      </w:r>
      <w:r w:rsidR="007B1F7C">
        <w:rPr>
          <w:rFonts w:ascii="Arial" w:hAnsi="Arial" w:cs="Arial"/>
          <w:sz w:val="24"/>
          <w:szCs w:val="24"/>
          <w:lang w:val="en-US"/>
        </w:rPr>
        <w:t xml:space="preserve"> </w:t>
      </w:r>
      <w:bookmarkStart w:id="0" w:name="_GoBack"/>
      <w:bookmarkEnd w:id="0"/>
    </w:p>
    <w:p w:rsidR="00DF6889" w:rsidRDefault="00DF6889" w:rsidP="003663E2">
      <w:pPr>
        <w:spacing w:after="0" w:line="240" w:lineRule="auto"/>
        <w:rPr>
          <w:rFonts w:ascii="Arial" w:hAnsi="Arial" w:cs="Arial"/>
          <w:sz w:val="24"/>
          <w:szCs w:val="24"/>
          <w:lang w:val="en-US"/>
        </w:rPr>
      </w:pPr>
    </w:p>
    <w:p w:rsidR="00DF6889" w:rsidRDefault="00DF6889">
      <w:pPr>
        <w:rPr>
          <w:rFonts w:ascii="Arial" w:hAnsi="Arial" w:cs="Arial"/>
          <w:sz w:val="24"/>
          <w:szCs w:val="24"/>
          <w:lang w:val="en-US"/>
        </w:rPr>
      </w:pPr>
      <w:r>
        <w:rPr>
          <w:rFonts w:ascii="Arial" w:hAnsi="Arial" w:cs="Arial"/>
          <w:sz w:val="24"/>
          <w:szCs w:val="24"/>
          <w:lang w:val="en-US"/>
        </w:rPr>
        <w:br w:type="page"/>
      </w:r>
    </w:p>
    <w:p w:rsidR="00E66891" w:rsidRPr="00A60206" w:rsidRDefault="00E66891" w:rsidP="00E66891">
      <w:pPr>
        <w:rPr>
          <w:rFonts w:ascii="Arial" w:hAnsi="Arial" w:cs="Arial"/>
          <w:b/>
        </w:rPr>
      </w:pPr>
    </w:p>
    <w:sdt>
      <w:sdtPr>
        <w:rPr>
          <w:rFonts w:asciiTheme="minorHAnsi" w:eastAsiaTheme="minorEastAsia" w:hAnsiTheme="minorHAnsi" w:cstheme="minorBidi"/>
          <w:b w:val="0"/>
          <w:bCs w:val="0"/>
          <w:sz w:val="22"/>
          <w:szCs w:val="22"/>
          <w:lang w:bidi="ar-SA"/>
        </w:rPr>
        <w:id w:val="1177386544"/>
        <w:docPartObj>
          <w:docPartGallery w:val="Table of Contents"/>
          <w:docPartUnique/>
        </w:docPartObj>
      </w:sdtPr>
      <w:sdtEndPr>
        <w:rPr>
          <w:noProof/>
        </w:rPr>
      </w:sdtEndPr>
      <w:sdtContent>
        <w:p w:rsidR="001B3A34" w:rsidRDefault="001B3A34">
          <w:pPr>
            <w:pStyle w:val="TOCHeading"/>
          </w:pPr>
          <w:r>
            <w:t>Table of Contents</w:t>
          </w:r>
        </w:p>
        <w:p w:rsidR="001B3A34" w:rsidRPr="001B3A34" w:rsidRDefault="001B3A34" w:rsidP="001B3A34">
          <w:pPr>
            <w:rPr>
              <w:lang w:bidi="en-US"/>
            </w:rPr>
          </w:pPr>
        </w:p>
        <w:p w:rsidR="00F0684D" w:rsidRDefault="00A31930">
          <w:pPr>
            <w:pStyle w:val="TOC1"/>
            <w:tabs>
              <w:tab w:val="right" w:leader="dot" w:pos="9016"/>
            </w:tabs>
            <w:rPr>
              <w:noProof/>
              <w:lang w:val="en-US"/>
            </w:rPr>
          </w:pPr>
          <w:r>
            <w:fldChar w:fldCharType="begin"/>
          </w:r>
          <w:r w:rsidR="001B3A34">
            <w:instrText xml:space="preserve"> TOC \o "1-3" \h \z \u </w:instrText>
          </w:r>
          <w:r>
            <w:fldChar w:fldCharType="separate"/>
          </w:r>
          <w:hyperlink w:anchor="_Toc465088527" w:history="1">
            <w:r w:rsidR="00F0684D" w:rsidRPr="00023984">
              <w:rPr>
                <w:rStyle w:val="Hyperlink"/>
                <w:noProof/>
              </w:rPr>
              <w:t>1. Background and objectives</w:t>
            </w:r>
            <w:r w:rsidR="00F0684D">
              <w:rPr>
                <w:noProof/>
                <w:webHidden/>
              </w:rPr>
              <w:tab/>
            </w:r>
            <w:r>
              <w:rPr>
                <w:noProof/>
                <w:webHidden/>
              </w:rPr>
              <w:fldChar w:fldCharType="begin"/>
            </w:r>
            <w:r w:rsidR="00F0684D">
              <w:rPr>
                <w:noProof/>
                <w:webHidden/>
              </w:rPr>
              <w:instrText xml:space="preserve"> PAGEREF _Toc465088527 \h </w:instrText>
            </w:r>
            <w:r>
              <w:rPr>
                <w:noProof/>
                <w:webHidden/>
              </w:rPr>
            </w:r>
            <w:r>
              <w:rPr>
                <w:noProof/>
                <w:webHidden/>
              </w:rPr>
              <w:fldChar w:fldCharType="separate"/>
            </w:r>
            <w:r w:rsidR="00F0684D">
              <w:rPr>
                <w:noProof/>
                <w:webHidden/>
              </w:rPr>
              <w:t>3</w:t>
            </w:r>
            <w:r>
              <w:rPr>
                <w:noProof/>
                <w:webHidden/>
              </w:rPr>
              <w:fldChar w:fldCharType="end"/>
            </w:r>
          </w:hyperlink>
        </w:p>
        <w:p w:rsidR="00F0684D" w:rsidRDefault="0078012C">
          <w:pPr>
            <w:pStyle w:val="TOC1"/>
            <w:tabs>
              <w:tab w:val="right" w:leader="dot" w:pos="9016"/>
            </w:tabs>
            <w:rPr>
              <w:noProof/>
              <w:lang w:val="en-US"/>
            </w:rPr>
          </w:pPr>
          <w:hyperlink w:anchor="_Toc465088528" w:history="1">
            <w:r w:rsidR="00F0684D" w:rsidRPr="00023984">
              <w:rPr>
                <w:rStyle w:val="Hyperlink"/>
                <w:noProof/>
              </w:rPr>
              <w:t>2. Capturing “new” lessons</w:t>
            </w:r>
            <w:r w:rsidR="00F0684D">
              <w:rPr>
                <w:noProof/>
                <w:webHidden/>
              </w:rPr>
              <w:tab/>
            </w:r>
            <w:r w:rsidR="00A31930">
              <w:rPr>
                <w:noProof/>
                <w:webHidden/>
              </w:rPr>
              <w:fldChar w:fldCharType="begin"/>
            </w:r>
            <w:r w:rsidR="00F0684D">
              <w:rPr>
                <w:noProof/>
                <w:webHidden/>
              </w:rPr>
              <w:instrText xml:space="preserve"> PAGEREF _Toc465088528 \h </w:instrText>
            </w:r>
            <w:r w:rsidR="00A31930">
              <w:rPr>
                <w:noProof/>
                <w:webHidden/>
              </w:rPr>
            </w:r>
            <w:r w:rsidR="00A31930">
              <w:rPr>
                <w:noProof/>
                <w:webHidden/>
              </w:rPr>
              <w:fldChar w:fldCharType="separate"/>
            </w:r>
            <w:r w:rsidR="00F0684D">
              <w:rPr>
                <w:noProof/>
                <w:webHidden/>
              </w:rPr>
              <w:t>3</w:t>
            </w:r>
            <w:r w:rsidR="00A31930">
              <w:rPr>
                <w:noProof/>
                <w:webHidden/>
              </w:rPr>
              <w:fldChar w:fldCharType="end"/>
            </w:r>
          </w:hyperlink>
        </w:p>
        <w:p w:rsidR="00F0684D" w:rsidRDefault="0078012C">
          <w:pPr>
            <w:pStyle w:val="TOC2"/>
            <w:tabs>
              <w:tab w:val="right" w:leader="dot" w:pos="9016"/>
            </w:tabs>
            <w:rPr>
              <w:noProof/>
              <w:lang w:val="en-US"/>
            </w:rPr>
          </w:pPr>
          <w:hyperlink w:anchor="_Toc465088529" w:history="1">
            <w:r w:rsidR="00F0684D" w:rsidRPr="00023984">
              <w:rPr>
                <w:rStyle w:val="Hyperlink"/>
                <w:rFonts w:eastAsia="Times New Roman"/>
                <w:noProof/>
              </w:rPr>
              <w:t>2.1 Types of lessons</w:t>
            </w:r>
            <w:r w:rsidR="00F0684D">
              <w:rPr>
                <w:noProof/>
                <w:webHidden/>
              </w:rPr>
              <w:tab/>
            </w:r>
            <w:r w:rsidR="00A31930">
              <w:rPr>
                <w:noProof/>
                <w:webHidden/>
              </w:rPr>
              <w:fldChar w:fldCharType="begin"/>
            </w:r>
            <w:r w:rsidR="00F0684D">
              <w:rPr>
                <w:noProof/>
                <w:webHidden/>
              </w:rPr>
              <w:instrText xml:space="preserve"> PAGEREF _Toc465088529 \h </w:instrText>
            </w:r>
            <w:r w:rsidR="00A31930">
              <w:rPr>
                <w:noProof/>
                <w:webHidden/>
              </w:rPr>
            </w:r>
            <w:r w:rsidR="00A31930">
              <w:rPr>
                <w:noProof/>
                <w:webHidden/>
              </w:rPr>
              <w:fldChar w:fldCharType="separate"/>
            </w:r>
            <w:r w:rsidR="00F0684D">
              <w:rPr>
                <w:noProof/>
                <w:webHidden/>
              </w:rPr>
              <w:t>4</w:t>
            </w:r>
            <w:r w:rsidR="00A31930">
              <w:rPr>
                <w:noProof/>
                <w:webHidden/>
              </w:rPr>
              <w:fldChar w:fldCharType="end"/>
            </w:r>
          </w:hyperlink>
        </w:p>
        <w:p w:rsidR="00F0684D" w:rsidRDefault="0078012C">
          <w:pPr>
            <w:pStyle w:val="TOC2"/>
            <w:tabs>
              <w:tab w:val="right" w:leader="dot" w:pos="9016"/>
            </w:tabs>
            <w:rPr>
              <w:noProof/>
              <w:lang w:val="en-US"/>
            </w:rPr>
          </w:pPr>
          <w:hyperlink w:anchor="_Toc465088530" w:history="1">
            <w:r w:rsidR="00F0684D" w:rsidRPr="00023984">
              <w:rPr>
                <w:rStyle w:val="Hyperlink"/>
                <w:rFonts w:eastAsia="Times New Roman"/>
                <w:noProof/>
              </w:rPr>
              <w:t>2.2 The process of lessons learned</w:t>
            </w:r>
            <w:r w:rsidR="00F0684D">
              <w:rPr>
                <w:noProof/>
                <w:webHidden/>
              </w:rPr>
              <w:tab/>
            </w:r>
            <w:r w:rsidR="00A31930">
              <w:rPr>
                <w:noProof/>
                <w:webHidden/>
              </w:rPr>
              <w:fldChar w:fldCharType="begin"/>
            </w:r>
            <w:r w:rsidR="00F0684D">
              <w:rPr>
                <w:noProof/>
                <w:webHidden/>
              </w:rPr>
              <w:instrText xml:space="preserve"> PAGEREF _Toc465088530 \h </w:instrText>
            </w:r>
            <w:r w:rsidR="00A31930">
              <w:rPr>
                <w:noProof/>
                <w:webHidden/>
              </w:rPr>
            </w:r>
            <w:r w:rsidR="00A31930">
              <w:rPr>
                <w:noProof/>
                <w:webHidden/>
              </w:rPr>
              <w:fldChar w:fldCharType="separate"/>
            </w:r>
            <w:r w:rsidR="00F0684D">
              <w:rPr>
                <w:noProof/>
                <w:webHidden/>
              </w:rPr>
              <w:t>4</w:t>
            </w:r>
            <w:r w:rsidR="00A31930">
              <w:rPr>
                <w:noProof/>
                <w:webHidden/>
              </w:rPr>
              <w:fldChar w:fldCharType="end"/>
            </w:r>
          </w:hyperlink>
        </w:p>
        <w:p w:rsidR="00F0684D" w:rsidRDefault="0078012C">
          <w:pPr>
            <w:pStyle w:val="TOC1"/>
            <w:tabs>
              <w:tab w:val="right" w:leader="dot" w:pos="9016"/>
            </w:tabs>
            <w:rPr>
              <w:noProof/>
              <w:lang w:val="en-US"/>
            </w:rPr>
          </w:pPr>
          <w:hyperlink w:anchor="_Toc465088531" w:history="1">
            <w:r w:rsidR="00F0684D" w:rsidRPr="00023984">
              <w:rPr>
                <w:rStyle w:val="Hyperlink"/>
                <w:noProof/>
              </w:rPr>
              <w:t>3. Overall approach</w:t>
            </w:r>
            <w:r w:rsidR="00F0684D">
              <w:rPr>
                <w:noProof/>
                <w:webHidden/>
              </w:rPr>
              <w:tab/>
            </w:r>
            <w:r w:rsidR="00A31930">
              <w:rPr>
                <w:noProof/>
                <w:webHidden/>
              </w:rPr>
              <w:fldChar w:fldCharType="begin"/>
            </w:r>
            <w:r w:rsidR="00F0684D">
              <w:rPr>
                <w:noProof/>
                <w:webHidden/>
              </w:rPr>
              <w:instrText xml:space="preserve"> PAGEREF _Toc465088531 \h </w:instrText>
            </w:r>
            <w:r w:rsidR="00A31930">
              <w:rPr>
                <w:noProof/>
                <w:webHidden/>
              </w:rPr>
            </w:r>
            <w:r w:rsidR="00A31930">
              <w:rPr>
                <w:noProof/>
                <w:webHidden/>
              </w:rPr>
              <w:fldChar w:fldCharType="separate"/>
            </w:r>
            <w:r w:rsidR="00F0684D">
              <w:rPr>
                <w:noProof/>
                <w:webHidden/>
              </w:rPr>
              <w:t>5</w:t>
            </w:r>
            <w:r w:rsidR="00A31930">
              <w:rPr>
                <w:noProof/>
                <w:webHidden/>
              </w:rPr>
              <w:fldChar w:fldCharType="end"/>
            </w:r>
          </w:hyperlink>
        </w:p>
        <w:p w:rsidR="00F0684D" w:rsidRDefault="0078012C">
          <w:pPr>
            <w:pStyle w:val="TOC1"/>
            <w:tabs>
              <w:tab w:val="right" w:leader="dot" w:pos="9016"/>
            </w:tabs>
            <w:rPr>
              <w:noProof/>
              <w:lang w:val="en-US"/>
            </w:rPr>
          </w:pPr>
          <w:hyperlink w:anchor="_Toc465088532" w:history="1">
            <w:r w:rsidR="00F0684D" w:rsidRPr="00023984">
              <w:rPr>
                <w:rStyle w:val="Hyperlink"/>
                <w:noProof/>
              </w:rPr>
              <w:t>4. Sources of lessons and knowledge</w:t>
            </w:r>
            <w:r w:rsidR="00F0684D">
              <w:rPr>
                <w:noProof/>
                <w:webHidden/>
              </w:rPr>
              <w:tab/>
            </w:r>
            <w:r w:rsidR="00A31930">
              <w:rPr>
                <w:noProof/>
                <w:webHidden/>
              </w:rPr>
              <w:fldChar w:fldCharType="begin"/>
            </w:r>
            <w:r w:rsidR="00F0684D">
              <w:rPr>
                <w:noProof/>
                <w:webHidden/>
              </w:rPr>
              <w:instrText xml:space="preserve"> PAGEREF _Toc465088532 \h </w:instrText>
            </w:r>
            <w:r w:rsidR="00A31930">
              <w:rPr>
                <w:noProof/>
                <w:webHidden/>
              </w:rPr>
            </w:r>
            <w:r w:rsidR="00A31930">
              <w:rPr>
                <w:noProof/>
                <w:webHidden/>
              </w:rPr>
              <w:fldChar w:fldCharType="separate"/>
            </w:r>
            <w:r w:rsidR="00F0684D">
              <w:rPr>
                <w:noProof/>
                <w:webHidden/>
              </w:rPr>
              <w:t>6</w:t>
            </w:r>
            <w:r w:rsidR="00A31930">
              <w:rPr>
                <w:noProof/>
                <w:webHidden/>
              </w:rPr>
              <w:fldChar w:fldCharType="end"/>
            </w:r>
          </w:hyperlink>
        </w:p>
        <w:p w:rsidR="00F0684D" w:rsidRDefault="0078012C">
          <w:pPr>
            <w:pStyle w:val="TOC1"/>
            <w:tabs>
              <w:tab w:val="right" w:leader="dot" w:pos="9016"/>
            </w:tabs>
            <w:rPr>
              <w:noProof/>
              <w:lang w:val="en-US"/>
            </w:rPr>
          </w:pPr>
          <w:hyperlink w:anchor="_Toc465088533" w:history="1">
            <w:r w:rsidR="00F0684D" w:rsidRPr="00023984">
              <w:rPr>
                <w:rStyle w:val="Hyperlink"/>
                <w:noProof/>
              </w:rPr>
              <w:t>5. Mechanisms and priorities for sharing and disseminating</w:t>
            </w:r>
            <w:r w:rsidR="00F0684D">
              <w:rPr>
                <w:noProof/>
                <w:webHidden/>
              </w:rPr>
              <w:tab/>
            </w:r>
            <w:r w:rsidR="00A31930">
              <w:rPr>
                <w:noProof/>
                <w:webHidden/>
              </w:rPr>
              <w:fldChar w:fldCharType="begin"/>
            </w:r>
            <w:r w:rsidR="00F0684D">
              <w:rPr>
                <w:noProof/>
                <w:webHidden/>
              </w:rPr>
              <w:instrText xml:space="preserve"> PAGEREF _Toc465088533 \h </w:instrText>
            </w:r>
            <w:r w:rsidR="00A31930">
              <w:rPr>
                <w:noProof/>
                <w:webHidden/>
              </w:rPr>
            </w:r>
            <w:r w:rsidR="00A31930">
              <w:rPr>
                <w:noProof/>
                <w:webHidden/>
              </w:rPr>
              <w:fldChar w:fldCharType="separate"/>
            </w:r>
            <w:r w:rsidR="00F0684D">
              <w:rPr>
                <w:noProof/>
                <w:webHidden/>
              </w:rPr>
              <w:t>10</w:t>
            </w:r>
            <w:r w:rsidR="00A31930">
              <w:rPr>
                <w:noProof/>
                <w:webHidden/>
              </w:rPr>
              <w:fldChar w:fldCharType="end"/>
            </w:r>
          </w:hyperlink>
        </w:p>
        <w:p w:rsidR="00F0684D" w:rsidRDefault="0078012C">
          <w:pPr>
            <w:pStyle w:val="TOC2"/>
            <w:tabs>
              <w:tab w:val="left" w:pos="880"/>
              <w:tab w:val="right" w:leader="dot" w:pos="9016"/>
            </w:tabs>
            <w:rPr>
              <w:noProof/>
              <w:lang w:val="en-US"/>
            </w:rPr>
          </w:pPr>
          <w:hyperlink w:anchor="_Toc465088534" w:history="1">
            <w:r w:rsidR="00F0684D" w:rsidRPr="00023984">
              <w:rPr>
                <w:rStyle w:val="Hyperlink"/>
                <w:noProof/>
              </w:rPr>
              <w:t>5.1</w:t>
            </w:r>
            <w:r w:rsidR="00F0684D">
              <w:rPr>
                <w:noProof/>
                <w:lang w:val="en-US"/>
              </w:rPr>
              <w:tab/>
            </w:r>
            <w:r w:rsidR="00F0684D" w:rsidRPr="00023984">
              <w:rPr>
                <w:rStyle w:val="Hyperlink"/>
                <w:noProof/>
              </w:rPr>
              <w:t>Technical Working Group</w:t>
            </w:r>
            <w:r w:rsidR="00F0684D">
              <w:rPr>
                <w:noProof/>
                <w:webHidden/>
              </w:rPr>
              <w:tab/>
            </w:r>
            <w:r w:rsidR="00A31930">
              <w:rPr>
                <w:noProof/>
                <w:webHidden/>
              </w:rPr>
              <w:fldChar w:fldCharType="begin"/>
            </w:r>
            <w:r w:rsidR="00F0684D">
              <w:rPr>
                <w:noProof/>
                <w:webHidden/>
              </w:rPr>
              <w:instrText xml:space="preserve"> PAGEREF _Toc465088534 \h </w:instrText>
            </w:r>
            <w:r w:rsidR="00A31930">
              <w:rPr>
                <w:noProof/>
                <w:webHidden/>
              </w:rPr>
            </w:r>
            <w:r w:rsidR="00A31930">
              <w:rPr>
                <w:noProof/>
                <w:webHidden/>
              </w:rPr>
              <w:fldChar w:fldCharType="separate"/>
            </w:r>
            <w:r w:rsidR="00F0684D">
              <w:rPr>
                <w:noProof/>
                <w:webHidden/>
              </w:rPr>
              <w:t>10</w:t>
            </w:r>
            <w:r w:rsidR="00A31930">
              <w:rPr>
                <w:noProof/>
                <w:webHidden/>
              </w:rPr>
              <w:fldChar w:fldCharType="end"/>
            </w:r>
          </w:hyperlink>
        </w:p>
        <w:p w:rsidR="00F0684D" w:rsidRDefault="0078012C">
          <w:pPr>
            <w:pStyle w:val="TOC2"/>
            <w:tabs>
              <w:tab w:val="left" w:pos="880"/>
              <w:tab w:val="right" w:leader="dot" w:pos="9016"/>
            </w:tabs>
            <w:rPr>
              <w:noProof/>
              <w:lang w:val="en-US"/>
            </w:rPr>
          </w:pPr>
          <w:hyperlink w:anchor="_Toc465088535" w:history="1">
            <w:r w:rsidR="00F0684D" w:rsidRPr="00023984">
              <w:rPr>
                <w:rStyle w:val="Hyperlink"/>
                <w:noProof/>
              </w:rPr>
              <w:t>5.2</w:t>
            </w:r>
            <w:r w:rsidR="00F0684D">
              <w:rPr>
                <w:noProof/>
                <w:lang w:val="en-US"/>
              </w:rPr>
              <w:tab/>
            </w:r>
            <w:r w:rsidR="00F0684D" w:rsidRPr="00023984">
              <w:rPr>
                <w:rStyle w:val="Hyperlink"/>
                <w:noProof/>
              </w:rPr>
              <w:t>Sharing and dissemination tools</w:t>
            </w:r>
            <w:r w:rsidR="00F0684D">
              <w:rPr>
                <w:noProof/>
                <w:webHidden/>
              </w:rPr>
              <w:tab/>
            </w:r>
            <w:r w:rsidR="00A31930">
              <w:rPr>
                <w:noProof/>
                <w:webHidden/>
              </w:rPr>
              <w:fldChar w:fldCharType="begin"/>
            </w:r>
            <w:r w:rsidR="00F0684D">
              <w:rPr>
                <w:noProof/>
                <w:webHidden/>
              </w:rPr>
              <w:instrText xml:space="preserve"> PAGEREF _Toc465088535 \h </w:instrText>
            </w:r>
            <w:r w:rsidR="00A31930">
              <w:rPr>
                <w:noProof/>
                <w:webHidden/>
              </w:rPr>
            </w:r>
            <w:r w:rsidR="00A31930">
              <w:rPr>
                <w:noProof/>
                <w:webHidden/>
              </w:rPr>
              <w:fldChar w:fldCharType="separate"/>
            </w:r>
            <w:r w:rsidR="00F0684D">
              <w:rPr>
                <w:noProof/>
                <w:webHidden/>
              </w:rPr>
              <w:t>11</w:t>
            </w:r>
            <w:r w:rsidR="00A31930">
              <w:rPr>
                <w:noProof/>
                <w:webHidden/>
              </w:rPr>
              <w:fldChar w:fldCharType="end"/>
            </w:r>
          </w:hyperlink>
        </w:p>
        <w:p w:rsidR="00F0684D" w:rsidRDefault="0078012C">
          <w:pPr>
            <w:pStyle w:val="TOC2"/>
            <w:tabs>
              <w:tab w:val="left" w:pos="880"/>
              <w:tab w:val="right" w:leader="dot" w:pos="9016"/>
            </w:tabs>
            <w:rPr>
              <w:noProof/>
              <w:lang w:val="en-US"/>
            </w:rPr>
          </w:pPr>
          <w:hyperlink w:anchor="_Toc465088536" w:history="1">
            <w:r w:rsidR="00F0684D" w:rsidRPr="00023984">
              <w:rPr>
                <w:rStyle w:val="Hyperlink"/>
                <w:noProof/>
              </w:rPr>
              <w:t>5.3</w:t>
            </w:r>
            <w:r w:rsidR="00F0684D">
              <w:rPr>
                <w:noProof/>
                <w:lang w:val="en-US"/>
              </w:rPr>
              <w:tab/>
            </w:r>
            <w:r w:rsidR="00F0684D" w:rsidRPr="00023984">
              <w:rPr>
                <w:rStyle w:val="Hyperlink"/>
                <w:noProof/>
              </w:rPr>
              <w:t>Priorities</w:t>
            </w:r>
            <w:r w:rsidR="00F0684D">
              <w:rPr>
                <w:noProof/>
                <w:webHidden/>
              </w:rPr>
              <w:tab/>
            </w:r>
            <w:r w:rsidR="00A31930">
              <w:rPr>
                <w:noProof/>
                <w:webHidden/>
              </w:rPr>
              <w:fldChar w:fldCharType="begin"/>
            </w:r>
            <w:r w:rsidR="00F0684D">
              <w:rPr>
                <w:noProof/>
                <w:webHidden/>
              </w:rPr>
              <w:instrText xml:space="preserve"> PAGEREF _Toc465088536 \h </w:instrText>
            </w:r>
            <w:r w:rsidR="00A31930">
              <w:rPr>
                <w:noProof/>
                <w:webHidden/>
              </w:rPr>
            </w:r>
            <w:r w:rsidR="00A31930">
              <w:rPr>
                <w:noProof/>
                <w:webHidden/>
              </w:rPr>
              <w:fldChar w:fldCharType="separate"/>
            </w:r>
            <w:r w:rsidR="00F0684D">
              <w:rPr>
                <w:noProof/>
                <w:webHidden/>
              </w:rPr>
              <w:t>12</w:t>
            </w:r>
            <w:r w:rsidR="00A31930">
              <w:rPr>
                <w:noProof/>
                <w:webHidden/>
              </w:rPr>
              <w:fldChar w:fldCharType="end"/>
            </w:r>
          </w:hyperlink>
        </w:p>
        <w:p w:rsidR="00F0684D" w:rsidRDefault="0078012C">
          <w:pPr>
            <w:pStyle w:val="TOC1"/>
            <w:tabs>
              <w:tab w:val="right" w:leader="dot" w:pos="9016"/>
            </w:tabs>
            <w:rPr>
              <w:noProof/>
              <w:lang w:val="en-US"/>
            </w:rPr>
          </w:pPr>
          <w:hyperlink w:anchor="_Toc465088537" w:history="1">
            <w:r w:rsidR="00F0684D" w:rsidRPr="00023984">
              <w:rPr>
                <w:rStyle w:val="Hyperlink"/>
                <w:noProof/>
              </w:rPr>
              <w:t>6. Target groups</w:t>
            </w:r>
            <w:r w:rsidR="00F0684D">
              <w:rPr>
                <w:noProof/>
                <w:webHidden/>
              </w:rPr>
              <w:tab/>
            </w:r>
            <w:r w:rsidR="00A31930">
              <w:rPr>
                <w:noProof/>
                <w:webHidden/>
              </w:rPr>
              <w:fldChar w:fldCharType="begin"/>
            </w:r>
            <w:r w:rsidR="00F0684D">
              <w:rPr>
                <w:noProof/>
                <w:webHidden/>
              </w:rPr>
              <w:instrText xml:space="preserve"> PAGEREF _Toc465088537 \h </w:instrText>
            </w:r>
            <w:r w:rsidR="00A31930">
              <w:rPr>
                <w:noProof/>
                <w:webHidden/>
              </w:rPr>
            </w:r>
            <w:r w:rsidR="00A31930">
              <w:rPr>
                <w:noProof/>
                <w:webHidden/>
              </w:rPr>
              <w:fldChar w:fldCharType="separate"/>
            </w:r>
            <w:r w:rsidR="00F0684D">
              <w:rPr>
                <w:noProof/>
                <w:webHidden/>
              </w:rPr>
              <w:t>13</w:t>
            </w:r>
            <w:r w:rsidR="00A31930">
              <w:rPr>
                <w:noProof/>
                <w:webHidden/>
              </w:rPr>
              <w:fldChar w:fldCharType="end"/>
            </w:r>
          </w:hyperlink>
        </w:p>
        <w:p w:rsidR="00F0684D" w:rsidRDefault="0078012C">
          <w:pPr>
            <w:pStyle w:val="TOC1"/>
            <w:tabs>
              <w:tab w:val="right" w:leader="dot" w:pos="9016"/>
            </w:tabs>
            <w:rPr>
              <w:noProof/>
              <w:lang w:val="en-US"/>
            </w:rPr>
          </w:pPr>
          <w:hyperlink w:anchor="_Toc465088538" w:history="1">
            <w:r w:rsidR="00F0684D" w:rsidRPr="00023984">
              <w:rPr>
                <w:rStyle w:val="Hyperlink"/>
                <w:noProof/>
              </w:rPr>
              <w:t>7. Reviewing and adapting the strategy</w:t>
            </w:r>
            <w:r w:rsidR="00F0684D">
              <w:rPr>
                <w:noProof/>
                <w:webHidden/>
              </w:rPr>
              <w:tab/>
            </w:r>
            <w:r w:rsidR="00A31930">
              <w:rPr>
                <w:noProof/>
                <w:webHidden/>
              </w:rPr>
              <w:fldChar w:fldCharType="begin"/>
            </w:r>
            <w:r w:rsidR="00F0684D">
              <w:rPr>
                <w:noProof/>
                <w:webHidden/>
              </w:rPr>
              <w:instrText xml:space="preserve"> PAGEREF _Toc465088538 \h </w:instrText>
            </w:r>
            <w:r w:rsidR="00A31930">
              <w:rPr>
                <w:noProof/>
                <w:webHidden/>
              </w:rPr>
            </w:r>
            <w:r w:rsidR="00A31930">
              <w:rPr>
                <w:noProof/>
                <w:webHidden/>
              </w:rPr>
              <w:fldChar w:fldCharType="separate"/>
            </w:r>
            <w:r w:rsidR="00F0684D">
              <w:rPr>
                <w:noProof/>
                <w:webHidden/>
              </w:rPr>
              <w:t>14</w:t>
            </w:r>
            <w:r w:rsidR="00A31930">
              <w:rPr>
                <w:noProof/>
                <w:webHidden/>
              </w:rPr>
              <w:fldChar w:fldCharType="end"/>
            </w:r>
          </w:hyperlink>
        </w:p>
        <w:p w:rsidR="001B3A34" w:rsidRDefault="00A31930">
          <w:r>
            <w:rPr>
              <w:b/>
              <w:bCs/>
              <w:noProof/>
            </w:rPr>
            <w:fldChar w:fldCharType="end"/>
          </w:r>
        </w:p>
      </w:sdtContent>
    </w:sdt>
    <w:p w:rsidR="00DF6889" w:rsidRDefault="00DF6889" w:rsidP="00DF6889">
      <w:pPr>
        <w:rPr>
          <w:rFonts w:ascii="Arial" w:hAnsi="Arial" w:cs="Arial"/>
        </w:rPr>
      </w:pPr>
    </w:p>
    <w:p w:rsidR="00DF6889" w:rsidRDefault="00DF6889" w:rsidP="00DF6889">
      <w:pPr>
        <w:rPr>
          <w:rFonts w:ascii="Arial" w:hAnsi="Arial" w:cs="Arial"/>
        </w:rPr>
      </w:pPr>
    </w:p>
    <w:p w:rsidR="00E66891" w:rsidRDefault="00E66891">
      <w:pPr>
        <w:rPr>
          <w:rFonts w:ascii="Arial" w:hAnsi="Arial" w:cs="Arial"/>
          <w:sz w:val="24"/>
          <w:szCs w:val="24"/>
        </w:rPr>
      </w:pPr>
      <w:r>
        <w:rPr>
          <w:rFonts w:ascii="Arial" w:hAnsi="Arial" w:cs="Arial"/>
          <w:sz w:val="24"/>
          <w:szCs w:val="24"/>
        </w:rPr>
        <w:br w:type="page"/>
      </w:r>
    </w:p>
    <w:p w:rsidR="00E66891" w:rsidRPr="00A60206" w:rsidRDefault="00374530" w:rsidP="001B3A34">
      <w:pPr>
        <w:pStyle w:val="Heading1"/>
        <w:spacing w:before="0" w:line="240" w:lineRule="auto"/>
      </w:pPr>
      <w:bookmarkStart w:id="1" w:name="_Toc465088527"/>
      <w:r w:rsidRPr="00A60206">
        <w:lastRenderedPageBreak/>
        <w:t>1. Background and</w:t>
      </w:r>
      <w:r w:rsidR="00E66891" w:rsidRPr="00A60206">
        <w:t xml:space="preserve"> objectives</w:t>
      </w:r>
      <w:bookmarkEnd w:id="1"/>
    </w:p>
    <w:p w:rsidR="001B3A34" w:rsidRDefault="001B3A34" w:rsidP="001B3A34">
      <w:pPr>
        <w:spacing w:after="0" w:line="240" w:lineRule="auto"/>
        <w:jc w:val="both"/>
        <w:rPr>
          <w:rFonts w:ascii="Arial" w:eastAsia="Times New Roman" w:hAnsi="Arial" w:cs="Arial"/>
          <w:color w:val="000000"/>
          <w:szCs w:val="24"/>
          <w:lang w:eastAsia="en-GB"/>
        </w:rPr>
      </w:pPr>
    </w:p>
    <w:p w:rsidR="00A36274" w:rsidRPr="00A36274" w:rsidRDefault="00555B74" w:rsidP="001B3A34">
      <w:pPr>
        <w:spacing w:after="0" w:line="240" w:lineRule="auto"/>
        <w:jc w:val="both"/>
        <w:rPr>
          <w:rFonts w:ascii="Arial" w:eastAsia="Times New Roman" w:hAnsi="Arial" w:cs="Arial"/>
          <w:color w:val="000000"/>
          <w:szCs w:val="24"/>
          <w:lang w:eastAsia="en-GB"/>
        </w:rPr>
      </w:pPr>
      <w:r>
        <w:rPr>
          <w:rFonts w:ascii="Arial" w:eastAsia="Times New Roman" w:hAnsi="Arial" w:cs="Arial"/>
          <w:color w:val="000000"/>
          <w:szCs w:val="24"/>
          <w:lang w:eastAsia="en-GB"/>
        </w:rPr>
        <w:t>Cross-border cooperation (CBC)</w:t>
      </w:r>
      <w:r w:rsidR="00A36274" w:rsidRPr="00A36274">
        <w:rPr>
          <w:rFonts w:ascii="Arial" w:eastAsia="Times New Roman" w:hAnsi="Arial" w:cs="Arial"/>
          <w:color w:val="000000"/>
          <w:szCs w:val="24"/>
          <w:lang w:eastAsia="en-GB"/>
        </w:rPr>
        <w:t xml:space="preserve"> </w:t>
      </w:r>
      <w:r w:rsidR="00C661C8">
        <w:rPr>
          <w:rFonts w:ascii="Arial" w:eastAsia="Times New Roman" w:hAnsi="Arial" w:cs="Arial"/>
          <w:color w:val="000000"/>
          <w:szCs w:val="24"/>
          <w:lang w:eastAsia="en-GB"/>
        </w:rPr>
        <w:t xml:space="preserve">experience </w:t>
      </w:r>
      <w:r w:rsidR="00A36274" w:rsidRPr="00A36274">
        <w:rPr>
          <w:rFonts w:ascii="Arial" w:eastAsia="Times New Roman" w:hAnsi="Arial" w:cs="Arial"/>
          <w:color w:val="000000"/>
          <w:szCs w:val="24"/>
          <w:lang w:eastAsia="en-GB"/>
        </w:rPr>
        <w:t>in the Western Balkans</w:t>
      </w:r>
      <w:r w:rsidR="00481540">
        <w:rPr>
          <w:rFonts w:ascii="Arial" w:eastAsia="Times New Roman" w:hAnsi="Arial" w:cs="Arial"/>
          <w:color w:val="000000"/>
          <w:szCs w:val="24"/>
          <w:lang w:eastAsia="en-GB"/>
        </w:rPr>
        <w:t xml:space="preserve"> (WB)</w:t>
      </w:r>
      <w:r w:rsidR="00A36274" w:rsidRPr="00A36274">
        <w:rPr>
          <w:rFonts w:ascii="Arial" w:eastAsia="Times New Roman" w:hAnsi="Arial" w:cs="Arial"/>
          <w:color w:val="000000"/>
          <w:szCs w:val="24"/>
          <w:lang w:eastAsia="en-GB"/>
        </w:rPr>
        <w:t xml:space="preserve"> has grown considerably </w:t>
      </w:r>
      <w:r w:rsidR="00D339EC">
        <w:rPr>
          <w:rFonts w:ascii="Arial" w:eastAsia="Times New Roman" w:hAnsi="Arial" w:cs="Arial"/>
          <w:color w:val="000000"/>
          <w:szCs w:val="24"/>
          <w:lang w:eastAsia="en-GB"/>
        </w:rPr>
        <w:t xml:space="preserve">since </w:t>
      </w:r>
      <w:r w:rsidR="00A36274" w:rsidRPr="00A36274">
        <w:rPr>
          <w:rFonts w:ascii="Arial" w:eastAsia="Times New Roman" w:hAnsi="Arial" w:cs="Arial"/>
          <w:color w:val="000000"/>
          <w:szCs w:val="24"/>
          <w:lang w:eastAsia="en-GB"/>
        </w:rPr>
        <w:t xml:space="preserve">2007 and it is now necessary and appropriate to fully exploit it. This experience has to be assessed and compared with the even richer experience in territorial cooperation that EU Member States have. Therefore, </w:t>
      </w:r>
      <w:r w:rsidR="00D339EC">
        <w:rPr>
          <w:rFonts w:ascii="Arial" w:eastAsia="Times New Roman" w:hAnsi="Arial" w:cs="Arial"/>
          <w:color w:val="000000"/>
          <w:szCs w:val="24"/>
          <w:lang w:eastAsia="en-GB"/>
        </w:rPr>
        <w:t xml:space="preserve">it is important to establish </w:t>
      </w:r>
      <w:r w:rsidR="00A36274" w:rsidRPr="00A36274">
        <w:rPr>
          <w:rFonts w:ascii="Arial" w:eastAsia="Times New Roman" w:hAnsi="Arial" w:cs="Arial"/>
          <w:color w:val="000000"/>
          <w:szCs w:val="24"/>
          <w:lang w:eastAsia="en-GB"/>
        </w:rPr>
        <w:t>a strategy for exploiting lessons learnt and synergies</w:t>
      </w:r>
      <w:r w:rsidR="00C661C8">
        <w:rPr>
          <w:rFonts w:ascii="Arial" w:eastAsia="Times New Roman" w:hAnsi="Arial" w:cs="Arial"/>
          <w:color w:val="000000"/>
          <w:szCs w:val="24"/>
          <w:lang w:eastAsia="en-GB"/>
        </w:rPr>
        <w:t xml:space="preserve"> to</w:t>
      </w:r>
      <w:r w:rsidR="00A36274" w:rsidRPr="00A36274">
        <w:rPr>
          <w:rFonts w:ascii="Arial" w:eastAsia="Times New Roman" w:hAnsi="Arial" w:cs="Arial"/>
          <w:color w:val="000000"/>
          <w:szCs w:val="24"/>
          <w:lang w:eastAsia="en-GB"/>
        </w:rPr>
        <w:t xml:space="preserve"> be followed throughout the implementation stage of CBIB+2. </w:t>
      </w:r>
    </w:p>
    <w:p w:rsidR="001B3A34" w:rsidRDefault="001B3A34" w:rsidP="001B3A34">
      <w:pPr>
        <w:spacing w:after="0" w:line="240" w:lineRule="auto"/>
        <w:rPr>
          <w:rFonts w:ascii="Arial" w:eastAsia="Times New Roman" w:hAnsi="Arial" w:cs="Arial"/>
          <w:color w:val="000000"/>
          <w:szCs w:val="24"/>
          <w:lang w:eastAsia="en-GB"/>
        </w:rPr>
      </w:pPr>
    </w:p>
    <w:p w:rsidR="00A36274" w:rsidRDefault="00A36274" w:rsidP="001B3A34">
      <w:pPr>
        <w:spacing w:after="0" w:line="240" w:lineRule="auto"/>
        <w:rPr>
          <w:rFonts w:ascii="Arial" w:eastAsia="Times New Roman" w:hAnsi="Arial" w:cs="Arial"/>
          <w:color w:val="000000"/>
          <w:szCs w:val="24"/>
          <w:lang w:eastAsia="en-GB"/>
        </w:rPr>
      </w:pPr>
      <w:r w:rsidRPr="00D339EC">
        <w:rPr>
          <w:rFonts w:ascii="Arial" w:eastAsia="Times New Roman" w:hAnsi="Arial" w:cs="Arial"/>
          <w:color w:val="000000"/>
          <w:szCs w:val="24"/>
          <w:lang w:eastAsia="en-GB"/>
        </w:rPr>
        <w:t>The strategy will aim:</w:t>
      </w:r>
    </w:p>
    <w:p w:rsidR="001B3A34" w:rsidRPr="00D339EC" w:rsidRDefault="001B3A34" w:rsidP="001B3A34">
      <w:pPr>
        <w:spacing w:after="0" w:line="240" w:lineRule="auto"/>
        <w:rPr>
          <w:rFonts w:ascii="Arial" w:eastAsia="Times New Roman" w:hAnsi="Arial" w:cs="Arial"/>
          <w:color w:val="000000"/>
          <w:szCs w:val="24"/>
          <w:lang w:eastAsia="en-GB"/>
        </w:rPr>
      </w:pPr>
    </w:p>
    <w:p w:rsidR="00D339EC" w:rsidRDefault="00D339EC" w:rsidP="001B3A34">
      <w:pPr>
        <w:pStyle w:val="ListParagraph"/>
        <w:numPr>
          <w:ilvl w:val="0"/>
          <w:numId w:val="21"/>
        </w:numPr>
        <w:spacing w:after="0" w:line="240" w:lineRule="auto"/>
        <w:jc w:val="both"/>
        <w:rPr>
          <w:rFonts w:ascii="Arial" w:hAnsi="Arial" w:cs="Arial"/>
          <w:color w:val="000000"/>
          <w:szCs w:val="24"/>
          <w:lang w:eastAsia="en-GB"/>
        </w:rPr>
      </w:pPr>
      <w:r>
        <w:rPr>
          <w:rFonts w:ascii="Arial" w:hAnsi="Arial" w:cs="Arial"/>
          <w:color w:val="000000"/>
          <w:szCs w:val="24"/>
          <w:lang w:eastAsia="en-GB"/>
        </w:rPr>
        <w:t>to obtain, distil and disseminate lesson</w:t>
      </w:r>
      <w:r w:rsidR="00C661C8">
        <w:rPr>
          <w:rFonts w:ascii="Arial" w:hAnsi="Arial" w:cs="Arial"/>
          <w:color w:val="000000"/>
          <w:szCs w:val="24"/>
          <w:lang w:eastAsia="en-GB"/>
        </w:rPr>
        <w:t>s</w:t>
      </w:r>
      <w:r>
        <w:rPr>
          <w:rFonts w:ascii="Arial" w:hAnsi="Arial" w:cs="Arial"/>
          <w:color w:val="000000"/>
          <w:szCs w:val="24"/>
          <w:lang w:eastAsia="en-GB"/>
        </w:rPr>
        <w:t xml:space="preserve"> learnt and</w:t>
      </w:r>
      <w:r w:rsidR="00A17DCA">
        <w:rPr>
          <w:rFonts w:ascii="Arial" w:hAnsi="Arial" w:cs="Arial"/>
          <w:color w:val="000000"/>
          <w:szCs w:val="24"/>
          <w:lang w:eastAsia="en-GB"/>
        </w:rPr>
        <w:t xml:space="preserve"> knowledge </w:t>
      </w:r>
      <w:r w:rsidR="00C661C8">
        <w:rPr>
          <w:rFonts w:ascii="Arial" w:hAnsi="Arial" w:cs="Arial"/>
          <w:color w:val="000000"/>
          <w:szCs w:val="24"/>
          <w:lang w:eastAsia="en-GB"/>
        </w:rPr>
        <w:t>gained</w:t>
      </w:r>
      <w:r>
        <w:rPr>
          <w:rFonts w:ascii="Arial" w:hAnsi="Arial" w:cs="Arial"/>
          <w:color w:val="000000"/>
          <w:szCs w:val="24"/>
          <w:lang w:eastAsia="en-GB"/>
        </w:rPr>
        <w:t xml:space="preserve"> from different sources; and</w:t>
      </w:r>
    </w:p>
    <w:p w:rsidR="00E66891" w:rsidRPr="00A17DCA" w:rsidRDefault="00A36274" w:rsidP="001B3A34">
      <w:pPr>
        <w:pStyle w:val="ListParagraph"/>
        <w:numPr>
          <w:ilvl w:val="0"/>
          <w:numId w:val="21"/>
        </w:numPr>
        <w:spacing w:after="0" w:line="240" w:lineRule="auto"/>
        <w:jc w:val="both"/>
        <w:rPr>
          <w:rFonts w:ascii="Arial" w:hAnsi="Arial" w:cs="Arial"/>
        </w:rPr>
      </w:pPr>
      <w:r w:rsidRPr="00A17DCA">
        <w:rPr>
          <w:rFonts w:ascii="Arial" w:hAnsi="Arial" w:cs="Arial"/>
          <w:color w:val="000000"/>
          <w:szCs w:val="24"/>
          <w:lang w:eastAsia="en-GB"/>
        </w:rPr>
        <w:t>to promote a best practice culture and the sharing of knowledge and experience</w:t>
      </w:r>
      <w:r w:rsidR="00D339EC" w:rsidRPr="00A17DCA">
        <w:rPr>
          <w:rFonts w:ascii="Arial" w:hAnsi="Arial" w:cs="Arial"/>
          <w:color w:val="000000"/>
          <w:szCs w:val="24"/>
          <w:lang w:eastAsia="en-GB"/>
        </w:rPr>
        <w:t xml:space="preserve">, with a view to </w:t>
      </w:r>
      <w:r w:rsidRPr="00A17DCA">
        <w:rPr>
          <w:rFonts w:ascii="Arial" w:hAnsi="Arial" w:cs="Arial"/>
          <w:color w:val="000000"/>
          <w:szCs w:val="24"/>
          <w:lang w:eastAsia="en-GB"/>
        </w:rPr>
        <w:t>enhanc</w:t>
      </w:r>
      <w:r w:rsidR="00D339EC" w:rsidRPr="00A17DCA">
        <w:rPr>
          <w:rFonts w:ascii="Arial" w:hAnsi="Arial" w:cs="Arial"/>
          <w:color w:val="000000"/>
          <w:szCs w:val="24"/>
          <w:lang w:eastAsia="en-GB"/>
        </w:rPr>
        <w:t>ing</w:t>
      </w:r>
      <w:r w:rsidRPr="00A17DCA">
        <w:rPr>
          <w:rFonts w:ascii="Arial" w:hAnsi="Arial" w:cs="Arial"/>
          <w:color w:val="000000"/>
          <w:szCs w:val="24"/>
          <w:lang w:eastAsia="en-GB"/>
        </w:rPr>
        <w:t xml:space="preserve"> </w:t>
      </w:r>
      <w:r w:rsidR="00A17DCA">
        <w:rPr>
          <w:rFonts w:ascii="Arial" w:hAnsi="Arial" w:cs="Arial"/>
          <w:color w:val="000000"/>
          <w:szCs w:val="24"/>
          <w:lang w:eastAsia="en-GB"/>
        </w:rPr>
        <w:t xml:space="preserve">capacities and technical skills, and generally improving the effectiveness of the CBC programmes in the </w:t>
      </w:r>
      <w:r w:rsidR="00C661C8">
        <w:rPr>
          <w:rFonts w:ascii="Arial" w:hAnsi="Arial" w:cs="Arial"/>
          <w:color w:val="000000"/>
          <w:szCs w:val="24"/>
          <w:lang w:eastAsia="en-GB"/>
        </w:rPr>
        <w:t xml:space="preserve">IPA </w:t>
      </w:r>
      <w:r w:rsidR="00A17DCA">
        <w:rPr>
          <w:rFonts w:ascii="Arial" w:hAnsi="Arial" w:cs="Arial"/>
          <w:color w:val="000000"/>
          <w:szCs w:val="24"/>
          <w:lang w:eastAsia="en-GB"/>
        </w:rPr>
        <w:t xml:space="preserve">beneficiary countries. </w:t>
      </w:r>
    </w:p>
    <w:p w:rsidR="001B3A34" w:rsidRDefault="001B3A34" w:rsidP="001B3A34">
      <w:pPr>
        <w:spacing w:after="0" w:line="240" w:lineRule="auto"/>
        <w:jc w:val="both"/>
        <w:rPr>
          <w:rFonts w:ascii="Arial" w:hAnsi="Arial" w:cs="Arial"/>
        </w:rPr>
      </w:pPr>
    </w:p>
    <w:p w:rsidR="00AE51F8" w:rsidRDefault="004C6AD3" w:rsidP="001B3A34">
      <w:pPr>
        <w:spacing w:after="0" w:line="240" w:lineRule="auto"/>
        <w:jc w:val="both"/>
        <w:rPr>
          <w:rFonts w:ascii="Arial" w:hAnsi="Arial" w:cs="Arial"/>
        </w:rPr>
      </w:pPr>
      <w:r w:rsidRPr="004C6AD3">
        <w:rPr>
          <w:rFonts w:ascii="Arial" w:hAnsi="Arial" w:cs="Arial"/>
        </w:rPr>
        <w:t>The strategy will cover d</w:t>
      </w:r>
      <w:r w:rsidR="00A17DCA" w:rsidRPr="004C6AD3">
        <w:rPr>
          <w:rFonts w:ascii="Arial" w:hAnsi="Arial" w:cs="Arial"/>
        </w:rPr>
        <w:t xml:space="preserve">ifferent sources </w:t>
      </w:r>
      <w:r w:rsidRPr="004C6AD3">
        <w:rPr>
          <w:rFonts w:ascii="Arial" w:hAnsi="Arial" w:cs="Arial"/>
        </w:rPr>
        <w:t xml:space="preserve">of </w:t>
      </w:r>
      <w:r w:rsidR="00AE51F8">
        <w:rPr>
          <w:rFonts w:ascii="Arial" w:hAnsi="Arial" w:cs="Arial"/>
        </w:rPr>
        <w:t>lessons and knowledge</w:t>
      </w:r>
      <w:r w:rsidR="00CD2005">
        <w:rPr>
          <w:rFonts w:ascii="Arial" w:hAnsi="Arial" w:cs="Arial"/>
        </w:rPr>
        <w:t>, as well as</w:t>
      </w:r>
      <w:r w:rsidRPr="004C6AD3">
        <w:rPr>
          <w:rFonts w:ascii="Arial" w:hAnsi="Arial" w:cs="Arial"/>
        </w:rPr>
        <w:t xml:space="preserve"> </w:t>
      </w:r>
      <w:r w:rsidR="00AE51F8">
        <w:rPr>
          <w:rFonts w:ascii="Arial" w:hAnsi="Arial" w:cs="Arial"/>
        </w:rPr>
        <w:t>various tools for</w:t>
      </w:r>
      <w:r w:rsidR="00FB732A" w:rsidRPr="00FB732A">
        <w:rPr>
          <w:rFonts w:ascii="Arial" w:hAnsi="Arial" w:cs="Arial"/>
        </w:rPr>
        <w:t xml:space="preserve"> </w:t>
      </w:r>
      <w:r w:rsidR="00FB732A">
        <w:rPr>
          <w:rFonts w:ascii="Arial" w:hAnsi="Arial" w:cs="Arial"/>
        </w:rPr>
        <w:t>getting feedback from a number of distinct target groups</w:t>
      </w:r>
      <w:r w:rsidR="00555B74">
        <w:rPr>
          <w:rFonts w:ascii="Arial" w:hAnsi="Arial" w:cs="Arial"/>
        </w:rPr>
        <w:t>. It will be completed by</w:t>
      </w:r>
      <w:r w:rsidR="00AE51F8">
        <w:rPr>
          <w:rFonts w:ascii="Arial" w:hAnsi="Arial" w:cs="Arial"/>
        </w:rPr>
        <w:t xml:space="preserve"> sharing</w:t>
      </w:r>
      <w:r w:rsidR="00FB732A">
        <w:rPr>
          <w:rFonts w:ascii="Arial" w:hAnsi="Arial" w:cs="Arial"/>
        </w:rPr>
        <w:t xml:space="preserve"> and</w:t>
      </w:r>
      <w:r w:rsidR="00CD2005">
        <w:rPr>
          <w:rFonts w:ascii="Arial" w:hAnsi="Arial" w:cs="Arial"/>
        </w:rPr>
        <w:t xml:space="preserve"> disseminati</w:t>
      </w:r>
      <w:r w:rsidR="00FB732A">
        <w:rPr>
          <w:rFonts w:ascii="Arial" w:hAnsi="Arial" w:cs="Arial"/>
        </w:rPr>
        <w:t>on</w:t>
      </w:r>
      <w:r w:rsidR="00555B74">
        <w:rPr>
          <w:rFonts w:ascii="Arial" w:hAnsi="Arial" w:cs="Arial"/>
        </w:rPr>
        <w:t xml:space="preserve"> activities</w:t>
      </w:r>
      <w:r w:rsidR="00AE51F8">
        <w:rPr>
          <w:rFonts w:ascii="Arial" w:hAnsi="Arial" w:cs="Arial"/>
        </w:rPr>
        <w:t xml:space="preserve">. </w:t>
      </w:r>
    </w:p>
    <w:p w:rsidR="001B3A34" w:rsidRDefault="001B3A34" w:rsidP="001B3A34">
      <w:pPr>
        <w:spacing w:after="0" w:line="240" w:lineRule="auto"/>
        <w:jc w:val="both"/>
        <w:rPr>
          <w:rFonts w:ascii="Arial" w:hAnsi="Arial" w:cs="Arial"/>
        </w:rPr>
      </w:pPr>
    </w:p>
    <w:p w:rsidR="004C6AD3" w:rsidRDefault="00AE51F8" w:rsidP="001B3A34">
      <w:pPr>
        <w:spacing w:after="0" w:line="240" w:lineRule="auto"/>
        <w:jc w:val="both"/>
        <w:rPr>
          <w:rFonts w:ascii="Arial" w:hAnsi="Arial" w:cs="Arial"/>
        </w:rPr>
      </w:pPr>
      <w:r>
        <w:rPr>
          <w:rFonts w:ascii="Arial" w:hAnsi="Arial" w:cs="Arial"/>
        </w:rPr>
        <w:t>The sources of lessons and other relevant knowledge will range</w:t>
      </w:r>
      <w:r w:rsidR="004C6AD3" w:rsidRPr="004C6AD3">
        <w:rPr>
          <w:rFonts w:ascii="Arial" w:hAnsi="Arial" w:cs="Arial"/>
        </w:rPr>
        <w:t xml:space="preserve"> from formal evaluation and capitalisation exercises to feedback obtained from </w:t>
      </w:r>
      <w:r w:rsidR="004C6AD3" w:rsidRPr="00E94BA3">
        <w:rPr>
          <w:rFonts w:ascii="Arial" w:hAnsi="Arial" w:cs="Arial"/>
        </w:rPr>
        <w:t xml:space="preserve">study visits </w:t>
      </w:r>
      <w:r w:rsidR="004C6AD3" w:rsidRPr="004C6AD3">
        <w:rPr>
          <w:rFonts w:ascii="Arial" w:hAnsi="Arial" w:cs="Arial"/>
        </w:rPr>
        <w:t>and exchanges from three broad strands:</w:t>
      </w:r>
    </w:p>
    <w:p w:rsidR="00CD2005" w:rsidRPr="004C6AD3" w:rsidRDefault="00CD2005" w:rsidP="001B3A34">
      <w:pPr>
        <w:spacing w:after="0" w:line="240" w:lineRule="auto"/>
        <w:jc w:val="both"/>
        <w:rPr>
          <w:rFonts w:ascii="Arial" w:hAnsi="Arial" w:cs="Arial"/>
        </w:rPr>
      </w:pPr>
    </w:p>
    <w:p w:rsidR="00A17DCA" w:rsidRPr="004C6AD3" w:rsidRDefault="006A2D2F" w:rsidP="001B3A34">
      <w:pPr>
        <w:pStyle w:val="ListParagraph"/>
        <w:numPr>
          <w:ilvl w:val="0"/>
          <w:numId w:val="29"/>
        </w:numPr>
        <w:spacing w:after="0" w:line="240" w:lineRule="auto"/>
        <w:jc w:val="both"/>
        <w:rPr>
          <w:rFonts w:ascii="Arial" w:hAnsi="Arial" w:cs="Arial"/>
        </w:rPr>
      </w:pPr>
      <w:r>
        <w:rPr>
          <w:rFonts w:ascii="Arial" w:hAnsi="Arial" w:cs="Arial"/>
        </w:rPr>
        <w:t>k</w:t>
      </w:r>
      <w:r w:rsidR="004C6AD3" w:rsidRPr="004C6AD3">
        <w:rPr>
          <w:rFonts w:ascii="Arial" w:hAnsi="Arial" w:cs="Arial"/>
        </w:rPr>
        <w:t>nowledge transfer from the EU /</w:t>
      </w:r>
      <w:r w:rsidR="00BA4C56">
        <w:rPr>
          <w:rFonts w:ascii="Arial" w:hAnsi="Arial" w:cs="Arial"/>
        </w:rPr>
        <w:t xml:space="preserve"> European Territorial Cooperation</w:t>
      </w:r>
      <w:r w:rsidR="004C6AD3" w:rsidRPr="004C6AD3">
        <w:rPr>
          <w:rFonts w:ascii="Arial" w:hAnsi="Arial" w:cs="Arial"/>
        </w:rPr>
        <w:t xml:space="preserve"> </w:t>
      </w:r>
      <w:r w:rsidR="00BA4C56">
        <w:rPr>
          <w:rFonts w:ascii="Arial" w:hAnsi="Arial" w:cs="Arial"/>
        </w:rPr>
        <w:t>(</w:t>
      </w:r>
      <w:r w:rsidR="004C6AD3" w:rsidRPr="004C6AD3">
        <w:rPr>
          <w:rFonts w:ascii="Arial" w:hAnsi="Arial" w:cs="Arial"/>
        </w:rPr>
        <w:t>ETC</w:t>
      </w:r>
      <w:r w:rsidR="00BA4C56">
        <w:rPr>
          <w:rFonts w:ascii="Arial" w:hAnsi="Arial" w:cs="Arial"/>
        </w:rPr>
        <w:t>)</w:t>
      </w:r>
      <w:r w:rsidR="004C6AD3" w:rsidRPr="004C6AD3">
        <w:rPr>
          <w:rFonts w:ascii="Arial" w:hAnsi="Arial" w:cs="Arial"/>
        </w:rPr>
        <w:t>;</w:t>
      </w:r>
    </w:p>
    <w:p w:rsidR="004C6AD3" w:rsidRPr="004C6AD3" w:rsidRDefault="006A2D2F" w:rsidP="001B3A34">
      <w:pPr>
        <w:pStyle w:val="ListParagraph"/>
        <w:numPr>
          <w:ilvl w:val="0"/>
          <w:numId w:val="29"/>
        </w:numPr>
        <w:spacing w:after="0" w:line="240" w:lineRule="auto"/>
        <w:jc w:val="both"/>
        <w:rPr>
          <w:rFonts w:ascii="Arial" w:hAnsi="Arial" w:cs="Arial"/>
        </w:rPr>
      </w:pPr>
      <w:r>
        <w:rPr>
          <w:rFonts w:ascii="Arial" w:hAnsi="Arial" w:cs="Arial"/>
        </w:rPr>
        <w:t>d</w:t>
      </w:r>
      <w:r w:rsidR="004C6AD3" w:rsidRPr="004C6AD3">
        <w:rPr>
          <w:rFonts w:ascii="Arial" w:hAnsi="Arial" w:cs="Arial"/>
        </w:rPr>
        <w:t xml:space="preserve">istillation of lessons and knowledge gained from the </w:t>
      </w:r>
      <w:r w:rsidR="00CD2005">
        <w:rPr>
          <w:rFonts w:ascii="Arial" w:hAnsi="Arial" w:cs="Arial"/>
        </w:rPr>
        <w:t xml:space="preserve">2007-2013 </w:t>
      </w:r>
      <w:r w:rsidR="004C6AD3" w:rsidRPr="004C6AD3">
        <w:rPr>
          <w:rFonts w:ascii="Arial" w:hAnsi="Arial" w:cs="Arial"/>
        </w:rPr>
        <w:t>IPA CBC programmes, including the database of best practices and the recently launch</w:t>
      </w:r>
      <w:r w:rsidR="00EC5D54">
        <w:rPr>
          <w:rFonts w:ascii="Arial" w:hAnsi="Arial" w:cs="Arial"/>
        </w:rPr>
        <w:t>ed</w:t>
      </w:r>
      <w:r w:rsidR="004C6AD3" w:rsidRPr="004C6AD3">
        <w:rPr>
          <w:rFonts w:ascii="Arial" w:hAnsi="Arial" w:cs="Arial"/>
        </w:rPr>
        <w:t xml:space="preserve"> </w:t>
      </w:r>
      <w:r w:rsidR="00CD2005">
        <w:rPr>
          <w:rFonts w:ascii="Arial" w:hAnsi="Arial" w:cs="Arial"/>
        </w:rPr>
        <w:t>overall</w:t>
      </w:r>
      <w:r>
        <w:rPr>
          <w:rFonts w:ascii="Arial" w:hAnsi="Arial" w:cs="Arial"/>
        </w:rPr>
        <w:t xml:space="preserve"> evaluation</w:t>
      </w:r>
      <w:r w:rsidR="004C6AD3" w:rsidRPr="004C6AD3">
        <w:rPr>
          <w:rFonts w:ascii="Arial" w:hAnsi="Arial" w:cs="Arial"/>
        </w:rPr>
        <w:t>;</w:t>
      </w:r>
    </w:p>
    <w:p w:rsidR="00414D05" w:rsidRPr="004C6AD3" w:rsidRDefault="006A2D2F" w:rsidP="001B3A34">
      <w:pPr>
        <w:pStyle w:val="ListParagraph"/>
        <w:numPr>
          <w:ilvl w:val="0"/>
          <w:numId w:val="29"/>
        </w:numPr>
        <w:spacing w:after="0" w:line="240" w:lineRule="auto"/>
        <w:jc w:val="both"/>
        <w:rPr>
          <w:rFonts w:ascii="Arial" w:hAnsi="Arial" w:cs="Arial"/>
        </w:rPr>
      </w:pPr>
      <w:r>
        <w:rPr>
          <w:rFonts w:ascii="Arial" w:hAnsi="Arial" w:cs="Arial"/>
        </w:rPr>
        <w:t>o</w:t>
      </w:r>
      <w:r w:rsidR="00414D05" w:rsidRPr="004C6AD3">
        <w:rPr>
          <w:rFonts w:ascii="Arial" w:hAnsi="Arial" w:cs="Arial"/>
        </w:rPr>
        <w:t xml:space="preserve">ngoing </w:t>
      </w:r>
      <w:r w:rsidR="00CF2271">
        <w:rPr>
          <w:rFonts w:ascii="Arial" w:hAnsi="Arial" w:cs="Arial"/>
        </w:rPr>
        <w:t>feedback from</w:t>
      </w:r>
      <w:r w:rsidR="004C6AD3" w:rsidRPr="004C6AD3">
        <w:rPr>
          <w:rFonts w:ascii="Arial" w:hAnsi="Arial" w:cs="Arial"/>
        </w:rPr>
        <w:t xml:space="preserve"> ETC </w:t>
      </w:r>
      <w:r w:rsidR="00CF2271">
        <w:rPr>
          <w:rFonts w:ascii="Arial" w:hAnsi="Arial" w:cs="Arial"/>
        </w:rPr>
        <w:t xml:space="preserve">programmes </w:t>
      </w:r>
      <w:r w:rsidR="004C6AD3" w:rsidRPr="004C6AD3">
        <w:rPr>
          <w:rFonts w:ascii="Arial" w:hAnsi="Arial" w:cs="Arial"/>
        </w:rPr>
        <w:t xml:space="preserve">and </w:t>
      </w:r>
      <w:r w:rsidR="00CF2271">
        <w:rPr>
          <w:rFonts w:ascii="Arial" w:hAnsi="Arial" w:cs="Arial"/>
        </w:rPr>
        <w:t xml:space="preserve">the 2014-2020 </w:t>
      </w:r>
      <w:r w:rsidR="004C6AD3" w:rsidRPr="004C6AD3">
        <w:rPr>
          <w:rFonts w:ascii="Arial" w:hAnsi="Arial" w:cs="Arial"/>
        </w:rPr>
        <w:t>IPA</w:t>
      </w:r>
      <w:r w:rsidR="00CF2271">
        <w:rPr>
          <w:rFonts w:ascii="Arial" w:hAnsi="Arial" w:cs="Arial"/>
        </w:rPr>
        <w:t xml:space="preserve"> II</w:t>
      </w:r>
      <w:r w:rsidR="004C6AD3" w:rsidRPr="004C6AD3">
        <w:rPr>
          <w:rFonts w:ascii="Arial" w:hAnsi="Arial" w:cs="Arial"/>
        </w:rPr>
        <w:t xml:space="preserve"> CBC programmes, </w:t>
      </w:r>
      <w:r w:rsidR="00414D05" w:rsidRPr="004C6AD3">
        <w:rPr>
          <w:rFonts w:ascii="Arial" w:hAnsi="Arial" w:cs="Arial"/>
        </w:rPr>
        <w:t>such as the new INTERACT capitalisation initiative</w:t>
      </w:r>
      <w:r w:rsidR="00364ECB" w:rsidRPr="004C6AD3">
        <w:rPr>
          <w:rStyle w:val="FootnoteReference"/>
          <w:rFonts w:ascii="Arial" w:hAnsi="Arial" w:cs="Arial"/>
          <w:sz w:val="18"/>
        </w:rPr>
        <w:footnoteReference w:id="1"/>
      </w:r>
      <w:r w:rsidR="00414D05" w:rsidRPr="004C6AD3">
        <w:rPr>
          <w:rFonts w:ascii="Arial" w:hAnsi="Arial" w:cs="Arial"/>
          <w:sz w:val="24"/>
        </w:rPr>
        <w:t xml:space="preserve"> </w:t>
      </w:r>
      <w:r w:rsidR="004C6AD3" w:rsidRPr="004C6AD3">
        <w:rPr>
          <w:rFonts w:ascii="Arial" w:hAnsi="Arial" w:cs="Arial"/>
        </w:rPr>
        <w:t>for 2014-2020.</w:t>
      </w:r>
    </w:p>
    <w:p w:rsidR="00CD2005" w:rsidRDefault="00CD2005" w:rsidP="001B3A34">
      <w:pPr>
        <w:spacing w:after="0" w:line="240" w:lineRule="auto"/>
        <w:jc w:val="both"/>
        <w:rPr>
          <w:rFonts w:ascii="Arial" w:hAnsi="Arial" w:cs="Arial"/>
        </w:rPr>
      </w:pPr>
    </w:p>
    <w:p w:rsidR="006A2D2F" w:rsidRDefault="006A2D2F" w:rsidP="001B3A34">
      <w:pPr>
        <w:spacing w:after="0" w:line="240" w:lineRule="auto"/>
        <w:jc w:val="both"/>
        <w:rPr>
          <w:rFonts w:ascii="Arial" w:hAnsi="Arial" w:cs="Arial"/>
        </w:rPr>
      </w:pPr>
      <w:r w:rsidRPr="006A2D2F">
        <w:rPr>
          <w:rFonts w:ascii="Arial" w:hAnsi="Arial" w:cs="Arial"/>
        </w:rPr>
        <w:t xml:space="preserve">The outcomes of the strategy are expected to bring multiple benefits. At one end, a significant increase </w:t>
      </w:r>
      <w:r w:rsidR="00EC5D54">
        <w:rPr>
          <w:rFonts w:ascii="Arial" w:hAnsi="Arial" w:cs="Arial"/>
        </w:rPr>
        <w:t>could</w:t>
      </w:r>
      <w:r w:rsidRPr="006A2D2F">
        <w:rPr>
          <w:rFonts w:ascii="Arial" w:hAnsi="Arial" w:cs="Arial"/>
        </w:rPr>
        <w:t xml:space="preserve"> be achieved in the knowledge of programming bodies about cooperation gaps, territorial needs and/or potentials in the programme areas. At the other end, projects could be empowered</w:t>
      </w:r>
      <w:r w:rsidR="00E966CB" w:rsidRPr="006A2D2F">
        <w:rPr>
          <w:rFonts w:ascii="Arial" w:hAnsi="Arial" w:cs="Arial"/>
        </w:rPr>
        <w:t xml:space="preserve"> to improve the quality and sustainability of deliverables, strengthen their communication to </w:t>
      </w:r>
      <w:r w:rsidRPr="006A2D2F">
        <w:rPr>
          <w:rFonts w:ascii="Arial" w:hAnsi="Arial" w:cs="Arial"/>
        </w:rPr>
        <w:t xml:space="preserve">common stakeholders, and </w:t>
      </w:r>
      <w:r w:rsidR="00EC5D54">
        <w:rPr>
          <w:rFonts w:ascii="Arial" w:hAnsi="Arial" w:cs="Arial"/>
        </w:rPr>
        <w:t xml:space="preserve">the process could </w:t>
      </w:r>
      <w:r w:rsidRPr="006A2D2F">
        <w:rPr>
          <w:rFonts w:ascii="Arial" w:hAnsi="Arial" w:cs="Arial"/>
        </w:rPr>
        <w:t>enable</w:t>
      </w:r>
      <w:r w:rsidR="00E966CB" w:rsidRPr="006A2D2F">
        <w:rPr>
          <w:rFonts w:ascii="Arial" w:hAnsi="Arial" w:cs="Arial"/>
        </w:rPr>
        <w:t xml:space="preserve"> the reinforcement of existing </w:t>
      </w:r>
      <w:r w:rsidR="00CF2271" w:rsidRPr="006A2D2F">
        <w:rPr>
          <w:rFonts w:ascii="Arial" w:hAnsi="Arial" w:cs="Arial"/>
        </w:rPr>
        <w:t xml:space="preserve">cooperation networks and projects </w:t>
      </w:r>
      <w:r w:rsidR="00E966CB" w:rsidRPr="006A2D2F">
        <w:rPr>
          <w:rFonts w:ascii="Arial" w:hAnsi="Arial" w:cs="Arial"/>
        </w:rPr>
        <w:t>or forming of new</w:t>
      </w:r>
      <w:r w:rsidR="00CF2271">
        <w:rPr>
          <w:rFonts w:ascii="Arial" w:hAnsi="Arial" w:cs="Arial"/>
        </w:rPr>
        <w:t xml:space="preserve"> ones</w:t>
      </w:r>
      <w:r w:rsidR="00E966CB" w:rsidRPr="006A2D2F">
        <w:rPr>
          <w:rFonts w:ascii="Arial" w:hAnsi="Arial" w:cs="Arial"/>
        </w:rPr>
        <w:t xml:space="preserve">. </w:t>
      </w:r>
    </w:p>
    <w:p w:rsidR="00CF2271" w:rsidRDefault="00CF2271" w:rsidP="001B3A34">
      <w:pPr>
        <w:spacing w:after="0" w:line="240" w:lineRule="auto"/>
        <w:jc w:val="both"/>
        <w:rPr>
          <w:rFonts w:ascii="Arial" w:hAnsi="Arial" w:cs="Arial"/>
        </w:rPr>
      </w:pPr>
    </w:p>
    <w:p w:rsidR="00E966CB" w:rsidRDefault="00B62C9E" w:rsidP="003D64BB">
      <w:pPr>
        <w:spacing w:after="0" w:line="240" w:lineRule="auto"/>
        <w:jc w:val="both"/>
        <w:rPr>
          <w:rFonts w:ascii="Arial" w:hAnsi="Arial" w:cs="Arial"/>
        </w:rPr>
      </w:pPr>
      <w:r>
        <w:rPr>
          <w:rFonts w:ascii="Arial" w:hAnsi="Arial" w:cs="Arial"/>
        </w:rPr>
        <w:t>CBIB+</w:t>
      </w:r>
      <w:r w:rsidR="00CF2271">
        <w:rPr>
          <w:rFonts w:ascii="Arial" w:hAnsi="Arial" w:cs="Arial"/>
        </w:rPr>
        <w:t xml:space="preserve">2 </w:t>
      </w:r>
      <w:r>
        <w:rPr>
          <w:rFonts w:ascii="Arial" w:hAnsi="Arial" w:cs="Arial"/>
        </w:rPr>
        <w:t>consider</w:t>
      </w:r>
      <w:r w:rsidR="00195DD0">
        <w:rPr>
          <w:rFonts w:ascii="Arial" w:hAnsi="Arial" w:cs="Arial"/>
        </w:rPr>
        <w:t>s</w:t>
      </w:r>
      <w:r>
        <w:rPr>
          <w:rFonts w:ascii="Arial" w:hAnsi="Arial" w:cs="Arial"/>
        </w:rPr>
        <w:t xml:space="preserve"> this strategy as a “live” document which should be updated on a regular basis until the completion of the project, incorporating any knowledge and experience gained </w:t>
      </w:r>
      <w:r w:rsidR="00CF2271">
        <w:rPr>
          <w:rFonts w:ascii="Arial" w:hAnsi="Arial" w:cs="Arial"/>
        </w:rPr>
        <w:t xml:space="preserve">not only </w:t>
      </w:r>
      <w:r>
        <w:rPr>
          <w:rFonts w:ascii="Arial" w:hAnsi="Arial" w:cs="Arial"/>
        </w:rPr>
        <w:t>through the implementation of the CBIB+</w:t>
      </w:r>
      <w:r w:rsidR="00CF2271">
        <w:rPr>
          <w:rFonts w:ascii="Arial" w:hAnsi="Arial" w:cs="Arial"/>
        </w:rPr>
        <w:t>2</w:t>
      </w:r>
      <w:r>
        <w:rPr>
          <w:rFonts w:ascii="Arial" w:hAnsi="Arial" w:cs="Arial"/>
        </w:rPr>
        <w:t xml:space="preserve"> activities but also the ones</w:t>
      </w:r>
      <w:r w:rsidR="00CF2271">
        <w:rPr>
          <w:rFonts w:ascii="Arial" w:hAnsi="Arial" w:cs="Arial"/>
        </w:rPr>
        <w:t xml:space="preserve"> gained and shared by</w:t>
      </w:r>
      <w:r>
        <w:rPr>
          <w:rFonts w:ascii="Arial" w:hAnsi="Arial" w:cs="Arial"/>
        </w:rPr>
        <w:t xml:space="preserve"> the </w:t>
      </w:r>
      <w:r w:rsidR="004E1BC7">
        <w:rPr>
          <w:rFonts w:ascii="Arial" w:hAnsi="Arial" w:cs="Arial"/>
        </w:rPr>
        <w:t>o</w:t>
      </w:r>
      <w:r>
        <w:rPr>
          <w:rFonts w:ascii="Arial" w:hAnsi="Arial" w:cs="Arial"/>
        </w:rPr>
        <w:t xml:space="preserve">perating </w:t>
      </w:r>
      <w:r w:rsidR="004E1BC7">
        <w:rPr>
          <w:rFonts w:ascii="Arial" w:hAnsi="Arial" w:cs="Arial"/>
        </w:rPr>
        <w:t>s</w:t>
      </w:r>
      <w:r>
        <w:rPr>
          <w:rFonts w:ascii="Arial" w:hAnsi="Arial" w:cs="Arial"/>
        </w:rPr>
        <w:t>tructures</w:t>
      </w:r>
      <w:r w:rsidR="004E1BC7">
        <w:rPr>
          <w:rFonts w:ascii="Arial" w:hAnsi="Arial" w:cs="Arial"/>
        </w:rPr>
        <w:t xml:space="preserve"> (OSs)</w:t>
      </w:r>
      <w:r>
        <w:rPr>
          <w:rFonts w:ascii="Arial" w:hAnsi="Arial" w:cs="Arial"/>
        </w:rPr>
        <w:t xml:space="preserve"> and </w:t>
      </w:r>
      <w:r w:rsidR="004E1BC7">
        <w:rPr>
          <w:rFonts w:ascii="Arial" w:hAnsi="Arial" w:cs="Arial"/>
        </w:rPr>
        <w:t>the joint technical secretariats (</w:t>
      </w:r>
      <w:r>
        <w:rPr>
          <w:rFonts w:ascii="Arial" w:hAnsi="Arial" w:cs="Arial"/>
        </w:rPr>
        <w:t>JTSs</w:t>
      </w:r>
      <w:r w:rsidR="004E1BC7">
        <w:rPr>
          <w:rFonts w:ascii="Arial" w:hAnsi="Arial" w:cs="Arial"/>
        </w:rPr>
        <w:t>)</w:t>
      </w:r>
      <w:r>
        <w:rPr>
          <w:rFonts w:ascii="Arial" w:hAnsi="Arial" w:cs="Arial"/>
        </w:rPr>
        <w:t xml:space="preserve"> in the region</w:t>
      </w:r>
      <w:r w:rsidR="00195DD0">
        <w:rPr>
          <w:rFonts w:ascii="Arial" w:hAnsi="Arial" w:cs="Arial"/>
        </w:rPr>
        <w:t>.</w:t>
      </w:r>
    </w:p>
    <w:p w:rsidR="00983EB4" w:rsidRDefault="00383948">
      <w:pPr>
        <w:pStyle w:val="Heading1"/>
      </w:pPr>
      <w:bookmarkStart w:id="2" w:name="_Toc465088528"/>
      <w:r w:rsidRPr="00383948">
        <w:t>2. Capturing “new” lessons</w:t>
      </w:r>
      <w:bookmarkEnd w:id="2"/>
    </w:p>
    <w:p w:rsidR="001726BE" w:rsidRDefault="001726BE" w:rsidP="001726BE">
      <w:pPr>
        <w:spacing w:before="100" w:beforeAutospacing="1" w:after="100" w:afterAutospacing="1" w:line="240" w:lineRule="auto"/>
        <w:jc w:val="both"/>
        <w:rPr>
          <w:rFonts w:ascii="Arial" w:eastAsia="Times New Roman" w:hAnsi="Arial" w:cs="Arial"/>
        </w:rPr>
      </w:pPr>
      <w:r>
        <w:rPr>
          <w:rFonts w:ascii="Arial" w:eastAsia="Times New Roman" w:hAnsi="Arial" w:cs="Arial"/>
        </w:rPr>
        <w:t>Lessons are usually insights based on the evaluation experience. Lessons learned from a programme evaluation usually highlight the design or implementation strengths and weaknesses that affected the overall performance of the programme</w:t>
      </w:r>
      <w:r w:rsidR="00DA1B66">
        <w:rPr>
          <w:rStyle w:val="FootnoteReference"/>
          <w:rFonts w:eastAsia="Times New Roman" w:cs="Arial"/>
        </w:rPr>
        <w:footnoteReference w:id="2"/>
      </w:r>
      <w:r>
        <w:rPr>
          <w:rFonts w:ascii="Arial" w:eastAsia="Times New Roman" w:hAnsi="Arial" w:cs="Arial"/>
        </w:rPr>
        <w:t>.</w:t>
      </w:r>
    </w:p>
    <w:p w:rsidR="00983EB4" w:rsidRDefault="001726BE">
      <w:pPr>
        <w:pStyle w:val="Heading2"/>
        <w:rPr>
          <w:rFonts w:eastAsia="Times New Roman"/>
        </w:rPr>
      </w:pPr>
      <w:bookmarkStart w:id="3" w:name="_Toc465088529"/>
      <w:r w:rsidRPr="00166903">
        <w:rPr>
          <w:rFonts w:eastAsia="Times New Roman"/>
        </w:rPr>
        <w:lastRenderedPageBreak/>
        <w:t>2.1 Types of lessons</w:t>
      </w:r>
      <w:bookmarkEnd w:id="3"/>
    </w:p>
    <w:p w:rsidR="001726BE" w:rsidRDefault="001726BE" w:rsidP="001726BE">
      <w:pPr>
        <w:spacing w:before="100" w:beforeAutospacing="1" w:after="100" w:afterAutospacing="1" w:line="240" w:lineRule="auto"/>
        <w:jc w:val="both"/>
        <w:rPr>
          <w:rFonts w:ascii="Arial" w:eastAsia="Times New Roman" w:hAnsi="Arial" w:cs="Arial"/>
        </w:rPr>
      </w:pPr>
      <w:r>
        <w:rPr>
          <w:rFonts w:ascii="Arial" w:eastAsia="Times New Roman" w:hAnsi="Arial" w:cs="Arial"/>
        </w:rPr>
        <w:t>The table below is summarising the different types of lessons</w:t>
      </w:r>
      <w:r w:rsidR="00DA1B66">
        <w:rPr>
          <w:rStyle w:val="FootnoteReference"/>
          <w:rFonts w:eastAsia="Times New Roman" w:cs="Arial"/>
        </w:rPr>
        <w:footnoteReference w:id="3"/>
      </w:r>
    </w:p>
    <w:tbl>
      <w:tblPr>
        <w:tblStyle w:val="TableGrid"/>
        <w:tblW w:w="0" w:type="auto"/>
        <w:tblLook w:val="04A0" w:firstRow="1" w:lastRow="0" w:firstColumn="1" w:lastColumn="0" w:noHBand="0" w:noVBand="1"/>
      </w:tblPr>
      <w:tblGrid>
        <w:gridCol w:w="648"/>
        <w:gridCol w:w="2790"/>
        <w:gridCol w:w="5804"/>
      </w:tblGrid>
      <w:tr w:rsidR="001726BE" w:rsidTr="00166903">
        <w:tc>
          <w:tcPr>
            <w:tcW w:w="648" w:type="dxa"/>
            <w:shd w:val="clear" w:color="auto" w:fill="FF0000"/>
          </w:tcPr>
          <w:p w:rsidR="001726BE" w:rsidRPr="00166903" w:rsidRDefault="001726BE" w:rsidP="001726BE">
            <w:pPr>
              <w:spacing w:before="100" w:beforeAutospacing="1" w:after="100" w:afterAutospacing="1"/>
              <w:jc w:val="center"/>
              <w:rPr>
                <w:rFonts w:ascii="Arial" w:eastAsia="Times New Roman" w:hAnsi="Arial" w:cs="Arial"/>
                <w:b/>
                <w:color w:val="FDE9D9" w:themeColor="accent6" w:themeTint="33"/>
              </w:rPr>
            </w:pPr>
            <w:r w:rsidRPr="00166903">
              <w:rPr>
                <w:rFonts w:ascii="Arial" w:eastAsia="Times New Roman" w:hAnsi="Arial" w:cs="Arial"/>
                <w:b/>
                <w:color w:val="FDE9D9" w:themeColor="accent6" w:themeTint="33"/>
              </w:rPr>
              <w:t>No</w:t>
            </w:r>
          </w:p>
        </w:tc>
        <w:tc>
          <w:tcPr>
            <w:tcW w:w="2790" w:type="dxa"/>
            <w:shd w:val="clear" w:color="auto" w:fill="FF0000"/>
          </w:tcPr>
          <w:p w:rsidR="001726BE" w:rsidRPr="00166903" w:rsidRDefault="001726BE" w:rsidP="001726BE">
            <w:pPr>
              <w:spacing w:before="100" w:beforeAutospacing="1" w:after="100" w:afterAutospacing="1"/>
              <w:jc w:val="center"/>
              <w:rPr>
                <w:rFonts w:ascii="Arial" w:eastAsia="Times New Roman" w:hAnsi="Arial" w:cs="Arial"/>
                <w:b/>
                <w:color w:val="FDE9D9" w:themeColor="accent6" w:themeTint="33"/>
              </w:rPr>
            </w:pPr>
            <w:r w:rsidRPr="00166903">
              <w:rPr>
                <w:rFonts w:ascii="Arial" w:eastAsia="Times New Roman" w:hAnsi="Arial" w:cs="Arial"/>
                <w:b/>
                <w:color w:val="FDE9D9" w:themeColor="accent6" w:themeTint="33"/>
              </w:rPr>
              <w:t>Type of lesson</w:t>
            </w:r>
          </w:p>
        </w:tc>
        <w:tc>
          <w:tcPr>
            <w:tcW w:w="5804" w:type="dxa"/>
            <w:shd w:val="clear" w:color="auto" w:fill="FF0000"/>
          </w:tcPr>
          <w:p w:rsidR="001726BE" w:rsidRPr="00166903" w:rsidRDefault="001726BE" w:rsidP="001726BE">
            <w:pPr>
              <w:spacing w:before="100" w:beforeAutospacing="1" w:after="100" w:afterAutospacing="1"/>
              <w:jc w:val="center"/>
              <w:rPr>
                <w:rFonts w:ascii="Arial" w:eastAsia="Times New Roman" w:hAnsi="Arial" w:cs="Arial"/>
                <w:b/>
                <w:color w:val="FDE9D9" w:themeColor="accent6" w:themeTint="33"/>
              </w:rPr>
            </w:pPr>
            <w:r w:rsidRPr="00166903">
              <w:rPr>
                <w:rFonts w:ascii="Arial" w:eastAsia="Times New Roman" w:hAnsi="Arial" w:cs="Arial"/>
                <w:b/>
                <w:color w:val="FDE9D9" w:themeColor="accent6" w:themeTint="33"/>
              </w:rPr>
              <w:t>Comments</w:t>
            </w:r>
          </w:p>
        </w:tc>
      </w:tr>
      <w:tr w:rsidR="001726BE" w:rsidTr="00166903">
        <w:tc>
          <w:tcPr>
            <w:tcW w:w="648" w:type="dxa"/>
            <w:shd w:val="clear" w:color="auto" w:fill="F2F2F2" w:themeFill="background1" w:themeFillShade="F2"/>
          </w:tcPr>
          <w:p w:rsidR="001726BE" w:rsidRDefault="001726BE" w:rsidP="001726BE">
            <w:pPr>
              <w:spacing w:before="100" w:beforeAutospacing="1" w:after="100" w:afterAutospacing="1"/>
              <w:jc w:val="both"/>
              <w:rPr>
                <w:rFonts w:ascii="Arial" w:eastAsia="Times New Roman" w:hAnsi="Arial" w:cs="Arial"/>
              </w:rPr>
            </w:pPr>
            <w:r>
              <w:rPr>
                <w:rFonts w:ascii="Arial" w:eastAsia="Times New Roman" w:hAnsi="Arial" w:cs="Arial"/>
              </w:rPr>
              <w:t>1</w:t>
            </w:r>
          </w:p>
        </w:tc>
        <w:tc>
          <w:tcPr>
            <w:tcW w:w="2790" w:type="dxa"/>
            <w:shd w:val="clear" w:color="auto" w:fill="F2F2F2" w:themeFill="background1" w:themeFillShade="F2"/>
          </w:tcPr>
          <w:p w:rsidR="001726BE" w:rsidRDefault="001726BE" w:rsidP="001726BE">
            <w:pPr>
              <w:spacing w:before="100" w:beforeAutospacing="1" w:after="100" w:afterAutospacing="1"/>
              <w:jc w:val="both"/>
              <w:rPr>
                <w:rFonts w:ascii="Arial" w:eastAsia="Times New Roman" w:hAnsi="Arial" w:cs="Arial"/>
              </w:rPr>
            </w:pPr>
            <w:r>
              <w:rPr>
                <w:rFonts w:ascii="Arial" w:eastAsia="Times New Roman" w:hAnsi="Arial" w:cs="Arial"/>
              </w:rPr>
              <w:t>Generalised</w:t>
            </w:r>
          </w:p>
        </w:tc>
        <w:tc>
          <w:tcPr>
            <w:tcW w:w="5804" w:type="dxa"/>
            <w:shd w:val="clear" w:color="auto" w:fill="F2F2F2" w:themeFill="background1" w:themeFillShade="F2"/>
          </w:tcPr>
          <w:p w:rsidR="001726BE" w:rsidRDefault="001726BE" w:rsidP="001726BE">
            <w:pPr>
              <w:spacing w:before="100" w:beforeAutospacing="1" w:after="100" w:afterAutospacing="1"/>
              <w:jc w:val="both"/>
              <w:rPr>
                <w:rFonts w:ascii="Arial" w:eastAsia="Times New Roman" w:hAnsi="Arial" w:cs="Arial"/>
              </w:rPr>
            </w:pPr>
            <w:r>
              <w:rPr>
                <w:rFonts w:ascii="Arial" w:eastAsia="Times New Roman" w:hAnsi="Arial" w:cs="Arial"/>
              </w:rPr>
              <w:t>They are valid or relevant to other contexts</w:t>
            </w:r>
          </w:p>
        </w:tc>
      </w:tr>
      <w:tr w:rsidR="001726BE" w:rsidTr="00166903">
        <w:tc>
          <w:tcPr>
            <w:tcW w:w="648" w:type="dxa"/>
            <w:shd w:val="clear" w:color="auto" w:fill="F2F2F2" w:themeFill="background1" w:themeFillShade="F2"/>
          </w:tcPr>
          <w:p w:rsidR="001726BE" w:rsidRDefault="001726BE" w:rsidP="001726BE">
            <w:pPr>
              <w:spacing w:before="100" w:beforeAutospacing="1" w:after="100" w:afterAutospacing="1"/>
              <w:jc w:val="both"/>
              <w:rPr>
                <w:rFonts w:ascii="Arial" w:eastAsia="Times New Roman" w:hAnsi="Arial" w:cs="Arial"/>
              </w:rPr>
            </w:pPr>
            <w:r>
              <w:rPr>
                <w:rFonts w:ascii="Arial" w:eastAsia="Times New Roman" w:hAnsi="Arial" w:cs="Arial"/>
              </w:rPr>
              <w:t>2</w:t>
            </w:r>
          </w:p>
        </w:tc>
        <w:tc>
          <w:tcPr>
            <w:tcW w:w="2790" w:type="dxa"/>
            <w:shd w:val="clear" w:color="auto" w:fill="F2F2F2" w:themeFill="background1" w:themeFillShade="F2"/>
          </w:tcPr>
          <w:p w:rsidR="001726BE" w:rsidRDefault="001726BE" w:rsidP="001726BE">
            <w:pPr>
              <w:spacing w:before="100" w:beforeAutospacing="1" w:after="100" w:afterAutospacing="1"/>
              <w:jc w:val="both"/>
              <w:rPr>
                <w:rFonts w:ascii="Arial" w:eastAsia="Times New Roman" w:hAnsi="Arial" w:cs="Arial"/>
              </w:rPr>
            </w:pPr>
            <w:r>
              <w:rPr>
                <w:rFonts w:ascii="Arial" w:eastAsia="Times New Roman" w:hAnsi="Arial" w:cs="Arial"/>
              </w:rPr>
              <w:t>Significant and important</w:t>
            </w:r>
          </w:p>
        </w:tc>
        <w:tc>
          <w:tcPr>
            <w:tcW w:w="5804" w:type="dxa"/>
            <w:shd w:val="clear" w:color="auto" w:fill="F2F2F2" w:themeFill="background1" w:themeFillShade="F2"/>
          </w:tcPr>
          <w:p w:rsidR="001726BE" w:rsidRDefault="001726BE" w:rsidP="001726BE">
            <w:pPr>
              <w:spacing w:before="100" w:beforeAutospacing="1" w:after="100" w:afterAutospacing="1"/>
              <w:jc w:val="both"/>
              <w:rPr>
                <w:rFonts w:ascii="Arial" w:eastAsia="Times New Roman" w:hAnsi="Arial" w:cs="Arial"/>
              </w:rPr>
            </w:pPr>
            <w:r>
              <w:rPr>
                <w:rFonts w:ascii="Arial" w:eastAsia="Times New Roman" w:hAnsi="Arial" w:cs="Arial"/>
              </w:rPr>
              <w:t>Institutional memory remembers them distinctly and has the possibility to distinguish them from other findings</w:t>
            </w:r>
          </w:p>
        </w:tc>
      </w:tr>
      <w:tr w:rsidR="001726BE" w:rsidTr="00166903">
        <w:tc>
          <w:tcPr>
            <w:tcW w:w="648" w:type="dxa"/>
            <w:shd w:val="clear" w:color="auto" w:fill="F2F2F2" w:themeFill="background1" w:themeFillShade="F2"/>
          </w:tcPr>
          <w:p w:rsidR="001726BE" w:rsidRDefault="001726BE" w:rsidP="001726BE">
            <w:pPr>
              <w:spacing w:before="100" w:beforeAutospacing="1" w:after="100" w:afterAutospacing="1"/>
              <w:jc w:val="both"/>
              <w:rPr>
                <w:rFonts w:ascii="Arial" w:eastAsia="Times New Roman" w:hAnsi="Arial" w:cs="Arial"/>
              </w:rPr>
            </w:pPr>
            <w:r>
              <w:rPr>
                <w:rFonts w:ascii="Arial" w:eastAsia="Times New Roman" w:hAnsi="Arial" w:cs="Arial"/>
              </w:rPr>
              <w:t>3</w:t>
            </w:r>
          </w:p>
        </w:tc>
        <w:tc>
          <w:tcPr>
            <w:tcW w:w="2790" w:type="dxa"/>
            <w:shd w:val="clear" w:color="auto" w:fill="F2F2F2" w:themeFill="background1" w:themeFillShade="F2"/>
          </w:tcPr>
          <w:p w:rsidR="001726BE" w:rsidRDefault="001726BE" w:rsidP="001726BE">
            <w:pPr>
              <w:spacing w:before="100" w:beforeAutospacing="1" w:after="100" w:afterAutospacing="1"/>
              <w:jc w:val="both"/>
              <w:rPr>
                <w:rFonts w:ascii="Arial" w:eastAsia="Times New Roman" w:hAnsi="Arial" w:cs="Arial"/>
              </w:rPr>
            </w:pPr>
            <w:r>
              <w:rPr>
                <w:rFonts w:ascii="Arial" w:eastAsia="Times New Roman" w:hAnsi="Arial" w:cs="Arial"/>
              </w:rPr>
              <w:t>New</w:t>
            </w:r>
          </w:p>
        </w:tc>
        <w:tc>
          <w:tcPr>
            <w:tcW w:w="5804" w:type="dxa"/>
            <w:shd w:val="clear" w:color="auto" w:fill="F2F2F2" w:themeFill="background1" w:themeFillShade="F2"/>
          </w:tcPr>
          <w:p w:rsidR="001726BE" w:rsidRDefault="004E1BC7" w:rsidP="004E1BC7">
            <w:pPr>
              <w:spacing w:before="100" w:beforeAutospacing="1" w:after="100" w:afterAutospacing="1"/>
              <w:jc w:val="both"/>
              <w:rPr>
                <w:rFonts w:ascii="Arial" w:eastAsia="Times New Roman" w:hAnsi="Arial" w:cs="Arial"/>
              </w:rPr>
            </w:pPr>
            <w:r>
              <w:rPr>
                <w:rFonts w:ascii="Arial" w:eastAsia="Times New Roman" w:hAnsi="Arial" w:cs="Arial"/>
              </w:rPr>
              <w:t xml:space="preserve">They represent </w:t>
            </w:r>
            <w:r w:rsidR="001726BE">
              <w:rPr>
                <w:rFonts w:ascii="Arial" w:eastAsia="Times New Roman" w:hAnsi="Arial" w:cs="Arial"/>
              </w:rPr>
              <w:t>a knowledge that is expected to be possessed before the start of a project or a programme</w:t>
            </w:r>
          </w:p>
        </w:tc>
      </w:tr>
    </w:tbl>
    <w:p w:rsidR="00983EB4" w:rsidRPr="00983EB4" w:rsidRDefault="003D64BB">
      <w:pPr>
        <w:pStyle w:val="Heading2"/>
        <w:rPr>
          <w:rFonts w:eastAsia="Times New Roman"/>
          <w:b w:val="0"/>
          <w:sz w:val="22"/>
          <w:szCs w:val="22"/>
        </w:rPr>
      </w:pPr>
      <w:bookmarkStart w:id="4" w:name="_Toc465088530"/>
      <w:r>
        <w:rPr>
          <w:rFonts w:eastAsia="Times New Roman"/>
          <w:b w:val="0"/>
          <w:sz w:val="22"/>
          <w:szCs w:val="22"/>
        </w:rPr>
        <w:t>Attention should be paid to</w:t>
      </w:r>
      <w:r w:rsidR="00983EB4" w:rsidRPr="00983EB4">
        <w:rPr>
          <w:rFonts w:eastAsia="Times New Roman"/>
          <w:b w:val="0"/>
          <w:sz w:val="22"/>
          <w:szCs w:val="22"/>
        </w:rPr>
        <w:t xml:space="preserve"> the fact</w:t>
      </w:r>
      <w:r w:rsidR="00983EB4">
        <w:rPr>
          <w:rFonts w:eastAsia="Times New Roman"/>
          <w:b w:val="0"/>
          <w:sz w:val="22"/>
          <w:szCs w:val="22"/>
        </w:rPr>
        <w:t xml:space="preserve"> that a result is not a lesson learned</w:t>
      </w:r>
      <w:r w:rsidR="0029121F">
        <w:rPr>
          <w:rFonts w:eastAsia="Times New Roman"/>
          <w:b w:val="0"/>
          <w:sz w:val="22"/>
          <w:szCs w:val="22"/>
        </w:rPr>
        <w:t>.</w:t>
      </w:r>
    </w:p>
    <w:p w:rsidR="00983EB4" w:rsidRDefault="00166903">
      <w:pPr>
        <w:pStyle w:val="Heading2"/>
        <w:rPr>
          <w:rFonts w:eastAsia="Times New Roman"/>
        </w:rPr>
      </w:pPr>
      <w:r w:rsidRPr="00166903">
        <w:rPr>
          <w:rFonts w:eastAsia="Times New Roman"/>
        </w:rPr>
        <w:t>2.2 The process of lessons learned</w:t>
      </w:r>
      <w:bookmarkEnd w:id="4"/>
    </w:p>
    <w:p w:rsidR="00383948" w:rsidRPr="00383948" w:rsidRDefault="00C53FCE" w:rsidP="00383948">
      <w:pPr>
        <w:spacing w:before="100" w:beforeAutospacing="1" w:after="100" w:afterAutospacing="1" w:line="240" w:lineRule="auto"/>
        <w:rPr>
          <w:rFonts w:ascii="Arial" w:eastAsia="Times New Roman" w:hAnsi="Arial" w:cs="Arial"/>
        </w:rPr>
      </w:pPr>
      <w:r>
        <w:rPr>
          <w:rFonts w:ascii="Arial" w:eastAsia="Times New Roman" w:hAnsi="Arial" w:cs="Arial"/>
        </w:rPr>
        <w:t>There are four levels</w:t>
      </w:r>
      <w:r w:rsidR="00383948" w:rsidRPr="00383948">
        <w:rPr>
          <w:rFonts w:ascii="Arial" w:eastAsia="Times New Roman" w:hAnsi="Arial" w:cs="Arial"/>
        </w:rPr>
        <w:t xml:space="preserve"> which can be used to identify new lessons that </w:t>
      </w:r>
      <w:r w:rsidR="00CB0CCA">
        <w:rPr>
          <w:rFonts w:ascii="Arial" w:eastAsia="Times New Roman" w:hAnsi="Arial" w:cs="Arial"/>
        </w:rPr>
        <w:t>stakeholders</w:t>
      </w:r>
      <w:r w:rsidR="00383948" w:rsidRPr="00383948">
        <w:rPr>
          <w:rFonts w:ascii="Arial" w:eastAsia="Times New Roman" w:hAnsi="Arial" w:cs="Arial"/>
        </w:rPr>
        <w:t xml:space="preserve"> may have learned</w:t>
      </w:r>
      <w:r w:rsidR="00DA1B66">
        <w:rPr>
          <w:rStyle w:val="FootnoteReference"/>
          <w:rFonts w:eastAsia="Times New Roman" w:cs="Arial"/>
        </w:rPr>
        <w:footnoteReference w:id="4"/>
      </w:r>
      <w:r w:rsidR="00383948" w:rsidRPr="00383948">
        <w:rPr>
          <w:rFonts w:ascii="Arial" w:eastAsia="Times New Roman" w:hAnsi="Arial" w:cs="Arial"/>
        </w:rPr>
        <w:t xml:space="preserve">. </w:t>
      </w:r>
      <w:r w:rsidR="00CB0CCA">
        <w:rPr>
          <w:rFonts w:ascii="Arial" w:eastAsia="Times New Roman" w:hAnsi="Arial" w:cs="Arial"/>
        </w:rPr>
        <w:t>The figure 1, below is illustrating the capturing process.</w:t>
      </w:r>
    </w:p>
    <w:p w:rsidR="00CB0CCA" w:rsidRDefault="00983EB4" w:rsidP="00383948">
      <w:pPr>
        <w:spacing w:before="100" w:beforeAutospacing="1" w:after="100" w:afterAutospacing="1" w:line="240" w:lineRule="auto"/>
        <w:rPr>
          <w:rFonts w:ascii="Arial" w:eastAsia="Times New Roman" w:hAnsi="Arial" w:cs="Arial"/>
          <w:i/>
          <w:iCs/>
        </w:rPr>
      </w:pPr>
      <w:r>
        <w:rPr>
          <w:rFonts w:ascii="Arial" w:eastAsia="Times New Roman" w:hAnsi="Arial" w:cs="Arial"/>
          <w:i/>
          <w:iCs/>
          <w:noProof/>
          <w:lang w:val="en-US"/>
        </w:rPr>
        <w:drawing>
          <wp:inline distT="0" distB="0" distL="0" distR="0">
            <wp:extent cx="5260316" cy="5393522"/>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64218" cy="5397523"/>
                    </a:xfrm>
                    <a:prstGeom prst="rect">
                      <a:avLst/>
                    </a:prstGeom>
                    <a:noFill/>
                    <a:ln w="9525">
                      <a:noFill/>
                      <a:miter lim="800000"/>
                      <a:headEnd/>
                      <a:tailEnd/>
                    </a:ln>
                  </pic:spPr>
                </pic:pic>
              </a:graphicData>
            </a:graphic>
          </wp:inline>
        </w:drawing>
      </w:r>
    </w:p>
    <w:p w:rsidR="00CB0CCA" w:rsidRPr="00CB0CCA" w:rsidRDefault="00CB0CCA" w:rsidP="00383948">
      <w:pPr>
        <w:spacing w:before="100" w:beforeAutospacing="1" w:after="100" w:afterAutospacing="1" w:line="240" w:lineRule="auto"/>
        <w:rPr>
          <w:rFonts w:ascii="Arial" w:eastAsia="Times New Roman" w:hAnsi="Arial" w:cs="Arial"/>
          <w:b/>
        </w:rPr>
      </w:pPr>
      <w:r w:rsidRPr="00CB0CCA">
        <w:rPr>
          <w:rFonts w:ascii="Arial" w:eastAsia="Times New Roman" w:hAnsi="Arial" w:cs="Arial"/>
          <w:b/>
        </w:rPr>
        <w:lastRenderedPageBreak/>
        <w:t xml:space="preserve">Figure 1: </w:t>
      </w:r>
      <w:r w:rsidR="00B22B4D">
        <w:rPr>
          <w:rFonts w:ascii="Arial" w:eastAsia="Times New Roman" w:hAnsi="Arial" w:cs="Arial"/>
          <w:b/>
        </w:rPr>
        <w:t>Process of c</w:t>
      </w:r>
      <w:r w:rsidRPr="00CB0CCA">
        <w:rPr>
          <w:rFonts w:ascii="Arial" w:eastAsia="Times New Roman" w:hAnsi="Arial" w:cs="Arial"/>
          <w:b/>
        </w:rPr>
        <w:t>apturing lessons</w:t>
      </w:r>
    </w:p>
    <w:p w:rsidR="00CB0CCA" w:rsidRPr="00383948" w:rsidRDefault="00383948" w:rsidP="00CB0CCA">
      <w:pPr>
        <w:spacing w:before="100" w:beforeAutospacing="1" w:after="100" w:afterAutospacing="1" w:line="240" w:lineRule="auto"/>
        <w:jc w:val="both"/>
        <w:rPr>
          <w:rFonts w:ascii="Arial" w:eastAsia="Times New Roman" w:hAnsi="Arial" w:cs="Arial"/>
        </w:rPr>
      </w:pPr>
      <w:r w:rsidRPr="00383948">
        <w:rPr>
          <w:rFonts w:ascii="Arial" w:eastAsia="Times New Roman" w:hAnsi="Arial" w:cs="Arial"/>
        </w:rPr>
        <w:t xml:space="preserve">This approach to identifying "lessons learned" is different from simply asking </w:t>
      </w:r>
      <w:r w:rsidR="00CB0CCA">
        <w:rPr>
          <w:rFonts w:ascii="Arial" w:eastAsia="Times New Roman" w:hAnsi="Arial" w:cs="Arial"/>
        </w:rPr>
        <w:t>the stakeholders</w:t>
      </w:r>
      <w:r w:rsidRPr="00383948">
        <w:rPr>
          <w:rFonts w:ascii="Arial" w:eastAsia="Times New Roman" w:hAnsi="Arial" w:cs="Arial"/>
        </w:rPr>
        <w:t xml:space="preserve"> what lessons they </w:t>
      </w:r>
      <w:r w:rsidR="00CB0CCA" w:rsidRPr="00383948">
        <w:rPr>
          <w:rFonts w:ascii="Arial" w:eastAsia="Times New Roman" w:hAnsi="Arial" w:cs="Arial"/>
        </w:rPr>
        <w:t>have</w:t>
      </w:r>
      <w:r w:rsidRPr="00383948">
        <w:rPr>
          <w:rFonts w:ascii="Arial" w:eastAsia="Times New Roman" w:hAnsi="Arial" w:cs="Arial"/>
        </w:rPr>
        <w:t xml:space="preserve"> learned in the last x</w:t>
      </w:r>
      <w:r w:rsidR="00CB0CCA">
        <w:rPr>
          <w:rFonts w:ascii="Arial" w:eastAsia="Times New Roman" w:hAnsi="Arial" w:cs="Arial"/>
        </w:rPr>
        <w:t>x</w:t>
      </w:r>
      <w:r w:rsidR="00A75CED">
        <w:rPr>
          <w:rFonts w:ascii="Arial" w:eastAsia="Times New Roman" w:hAnsi="Arial" w:cs="Arial"/>
        </w:rPr>
        <w:t xml:space="preserve"> months. The latter</w:t>
      </w:r>
      <w:r w:rsidRPr="00383948">
        <w:rPr>
          <w:rFonts w:ascii="Arial" w:eastAsia="Times New Roman" w:hAnsi="Arial" w:cs="Arial"/>
        </w:rPr>
        <w:t xml:space="preserve"> tends to produce generalisations, which then have to be tied to the ground by asking for examples.</w:t>
      </w:r>
    </w:p>
    <w:p w:rsidR="00983EB4" w:rsidRDefault="00383948">
      <w:pPr>
        <w:pStyle w:val="Heading1"/>
        <w:rPr>
          <w:rFonts w:ascii="Arial" w:hAnsi="Arial" w:cs="Arial"/>
        </w:rPr>
      </w:pPr>
      <w:bookmarkStart w:id="5" w:name="_Toc465088531"/>
      <w:r w:rsidRPr="00CB0CCA">
        <w:t>3</w:t>
      </w:r>
      <w:r w:rsidR="00374530" w:rsidRPr="00CB0CCA">
        <w:t xml:space="preserve">. </w:t>
      </w:r>
      <w:r w:rsidR="00E66891" w:rsidRPr="00CB0CCA">
        <w:t>Overall approach</w:t>
      </w:r>
      <w:bookmarkEnd w:id="5"/>
    </w:p>
    <w:p w:rsidR="001B3A34" w:rsidRDefault="001B3A34" w:rsidP="001B3A34">
      <w:pPr>
        <w:spacing w:after="0" w:line="240" w:lineRule="auto"/>
        <w:jc w:val="both"/>
        <w:rPr>
          <w:rFonts w:ascii="Arial" w:hAnsi="Arial" w:cs="Arial"/>
        </w:rPr>
      </w:pPr>
    </w:p>
    <w:p w:rsidR="00E66891" w:rsidRDefault="00A17DCA" w:rsidP="001B3A34">
      <w:pPr>
        <w:spacing w:after="0" w:line="240" w:lineRule="auto"/>
        <w:jc w:val="both"/>
        <w:rPr>
          <w:rFonts w:ascii="Arial" w:hAnsi="Arial" w:cs="Arial"/>
        </w:rPr>
      </w:pPr>
      <w:r>
        <w:rPr>
          <w:rFonts w:ascii="Arial" w:hAnsi="Arial" w:cs="Arial"/>
        </w:rPr>
        <w:t xml:space="preserve">In view of the wide range of sources of information and knowledge, </w:t>
      </w:r>
      <w:r w:rsidR="00932590">
        <w:rPr>
          <w:rFonts w:ascii="Arial" w:hAnsi="Arial" w:cs="Arial"/>
        </w:rPr>
        <w:t xml:space="preserve">the </w:t>
      </w:r>
      <w:r>
        <w:rPr>
          <w:rFonts w:ascii="Arial" w:hAnsi="Arial" w:cs="Arial"/>
        </w:rPr>
        <w:t xml:space="preserve">multiple mechanisms for sharing </w:t>
      </w:r>
      <w:r w:rsidR="00932590">
        <w:rPr>
          <w:rFonts w:ascii="Arial" w:hAnsi="Arial" w:cs="Arial"/>
        </w:rPr>
        <w:t>them</w:t>
      </w:r>
      <w:r w:rsidR="00262B66">
        <w:rPr>
          <w:rFonts w:ascii="Arial" w:hAnsi="Arial" w:cs="Arial"/>
        </w:rPr>
        <w:t xml:space="preserve"> and the variety of target </w:t>
      </w:r>
      <w:proofErr w:type="gramStart"/>
      <w:r w:rsidR="00262B66">
        <w:rPr>
          <w:rFonts w:ascii="Arial" w:hAnsi="Arial" w:cs="Arial"/>
        </w:rPr>
        <w:t>groups</w:t>
      </w:r>
      <w:r w:rsidR="00932590">
        <w:rPr>
          <w:rFonts w:ascii="Arial" w:hAnsi="Arial" w:cs="Arial"/>
        </w:rPr>
        <w:t>,</w:t>
      </w:r>
      <w:proofErr w:type="gramEnd"/>
      <w:r w:rsidR="00964D56">
        <w:rPr>
          <w:rFonts w:ascii="Arial" w:hAnsi="Arial" w:cs="Arial"/>
        </w:rPr>
        <w:t xml:space="preserve"> it will be suitable</w:t>
      </w:r>
      <w:r>
        <w:rPr>
          <w:rFonts w:ascii="Arial" w:hAnsi="Arial" w:cs="Arial"/>
        </w:rPr>
        <w:t xml:space="preserve"> for the strategy </w:t>
      </w:r>
      <w:r w:rsidR="0029121F">
        <w:rPr>
          <w:rFonts w:ascii="Arial" w:hAnsi="Arial" w:cs="Arial"/>
        </w:rPr>
        <w:t>to</w:t>
      </w:r>
      <w:r>
        <w:rPr>
          <w:rFonts w:ascii="Arial" w:hAnsi="Arial" w:cs="Arial"/>
        </w:rPr>
        <w:t xml:space="preserve"> follow a flexible approach</w:t>
      </w:r>
      <w:r w:rsidR="006A2D2F">
        <w:rPr>
          <w:rFonts w:ascii="Arial" w:hAnsi="Arial" w:cs="Arial"/>
        </w:rPr>
        <w:t xml:space="preserve">. </w:t>
      </w:r>
      <w:r w:rsidR="005B39C6">
        <w:rPr>
          <w:rFonts w:ascii="Arial" w:hAnsi="Arial" w:cs="Arial"/>
        </w:rPr>
        <w:t xml:space="preserve">This approach </w:t>
      </w:r>
      <w:r>
        <w:rPr>
          <w:rFonts w:ascii="Arial" w:hAnsi="Arial" w:cs="Arial"/>
        </w:rPr>
        <w:t xml:space="preserve">will make it possible to </w:t>
      </w:r>
      <w:r w:rsidR="00143859">
        <w:rPr>
          <w:rFonts w:ascii="Arial" w:hAnsi="Arial" w:cs="Arial"/>
        </w:rPr>
        <w:t xml:space="preserve">exploit and </w:t>
      </w:r>
      <w:r>
        <w:rPr>
          <w:rFonts w:ascii="Arial" w:hAnsi="Arial" w:cs="Arial"/>
        </w:rPr>
        <w:t xml:space="preserve">benefit </w:t>
      </w:r>
      <w:r w:rsidR="00143859">
        <w:rPr>
          <w:rFonts w:ascii="Arial" w:hAnsi="Arial" w:cs="Arial"/>
        </w:rPr>
        <w:t xml:space="preserve">from different sources of </w:t>
      </w:r>
      <w:r w:rsidR="005B39C6">
        <w:rPr>
          <w:rFonts w:ascii="Arial" w:hAnsi="Arial" w:cs="Arial"/>
        </w:rPr>
        <w:t>knowledge</w:t>
      </w:r>
      <w:r w:rsidR="00262B66">
        <w:rPr>
          <w:rFonts w:ascii="Arial" w:hAnsi="Arial" w:cs="Arial"/>
        </w:rPr>
        <w:t xml:space="preserve"> and</w:t>
      </w:r>
      <w:r w:rsidR="00143859">
        <w:rPr>
          <w:rFonts w:ascii="Arial" w:hAnsi="Arial" w:cs="Arial"/>
        </w:rPr>
        <w:t xml:space="preserve"> </w:t>
      </w:r>
      <w:r w:rsidR="005B39C6">
        <w:rPr>
          <w:rFonts w:ascii="Arial" w:hAnsi="Arial" w:cs="Arial"/>
        </w:rPr>
        <w:t xml:space="preserve">the </w:t>
      </w:r>
      <w:r w:rsidR="00143859">
        <w:rPr>
          <w:rFonts w:ascii="Arial" w:hAnsi="Arial" w:cs="Arial"/>
        </w:rPr>
        <w:t xml:space="preserve">use </w:t>
      </w:r>
      <w:r w:rsidR="00150992">
        <w:rPr>
          <w:rFonts w:ascii="Arial" w:hAnsi="Arial" w:cs="Arial"/>
        </w:rPr>
        <w:t xml:space="preserve">of </w:t>
      </w:r>
      <w:r w:rsidR="00143859">
        <w:rPr>
          <w:rFonts w:ascii="Arial" w:hAnsi="Arial" w:cs="Arial"/>
        </w:rPr>
        <w:t xml:space="preserve">established and new </w:t>
      </w:r>
      <w:r w:rsidR="00262B66">
        <w:rPr>
          <w:rFonts w:ascii="Arial" w:hAnsi="Arial" w:cs="Arial"/>
        </w:rPr>
        <w:t xml:space="preserve">tools for </w:t>
      </w:r>
      <w:r w:rsidR="005B39C6">
        <w:rPr>
          <w:rFonts w:ascii="Arial" w:hAnsi="Arial" w:cs="Arial"/>
        </w:rPr>
        <w:t>sharing and dissemination</w:t>
      </w:r>
      <w:r w:rsidR="00262B66">
        <w:rPr>
          <w:rFonts w:ascii="Arial" w:hAnsi="Arial" w:cs="Arial"/>
        </w:rPr>
        <w:t>. S</w:t>
      </w:r>
      <w:r w:rsidR="00143859">
        <w:rPr>
          <w:rFonts w:ascii="Arial" w:hAnsi="Arial" w:cs="Arial"/>
        </w:rPr>
        <w:t xml:space="preserve">ome of </w:t>
      </w:r>
      <w:r w:rsidR="00262B66">
        <w:rPr>
          <w:rFonts w:ascii="Arial" w:hAnsi="Arial" w:cs="Arial"/>
        </w:rPr>
        <w:t>these tools</w:t>
      </w:r>
      <w:r w:rsidR="00143859">
        <w:rPr>
          <w:rFonts w:ascii="Arial" w:hAnsi="Arial" w:cs="Arial"/>
        </w:rPr>
        <w:t xml:space="preserve"> could be brought in</w:t>
      </w:r>
      <w:r w:rsidR="00262B66">
        <w:rPr>
          <w:rFonts w:ascii="Arial" w:hAnsi="Arial" w:cs="Arial"/>
        </w:rPr>
        <w:t>, as necessary and appropriate,</w:t>
      </w:r>
      <w:r w:rsidR="00143859">
        <w:rPr>
          <w:rFonts w:ascii="Arial" w:hAnsi="Arial" w:cs="Arial"/>
        </w:rPr>
        <w:t xml:space="preserve"> </w:t>
      </w:r>
      <w:r w:rsidR="005B39C6">
        <w:rPr>
          <w:rFonts w:ascii="Arial" w:hAnsi="Arial" w:cs="Arial"/>
        </w:rPr>
        <w:t xml:space="preserve">during the course of </w:t>
      </w:r>
      <w:r w:rsidR="00262B66">
        <w:rPr>
          <w:rFonts w:ascii="Arial" w:hAnsi="Arial" w:cs="Arial"/>
        </w:rPr>
        <w:t xml:space="preserve">project </w:t>
      </w:r>
      <w:r w:rsidR="00143859">
        <w:rPr>
          <w:rFonts w:ascii="Arial" w:hAnsi="Arial" w:cs="Arial"/>
        </w:rPr>
        <w:t>implementation</w:t>
      </w:r>
      <w:r w:rsidR="00150992">
        <w:rPr>
          <w:rFonts w:ascii="Arial" w:hAnsi="Arial" w:cs="Arial"/>
        </w:rPr>
        <w:t>.</w:t>
      </w:r>
    </w:p>
    <w:p w:rsidR="00821340" w:rsidRDefault="00821340" w:rsidP="001B3A34">
      <w:pPr>
        <w:spacing w:after="0" w:line="240" w:lineRule="auto"/>
        <w:jc w:val="both"/>
        <w:rPr>
          <w:rFonts w:ascii="Arial" w:hAnsi="Arial" w:cs="Arial"/>
        </w:rPr>
      </w:pPr>
    </w:p>
    <w:p w:rsidR="00A17DCA" w:rsidRDefault="005B39C6" w:rsidP="001B3A34">
      <w:pPr>
        <w:spacing w:after="0" w:line="240" w:lineRule="auto"/>
        <w:jc w:val="both"/>
        <w:rPr>
          <w:rFonts w:ascii="Arial" w:hAnsi="Arial" w:cs="Arial"/>
        </w:rPr>
      </w:pPr>
      <w:r>
        <w:rPr>
          <w:rFonts w:ascii="Arial" w:hAnsi="Arial" w:cs="Arial"/>
        </w:rPr>
        <w:t>The basic concept of the str</w:t>
      </w:r>
      <w:r w:rsidR="00CB0CCA">
        <w:rPr>
          <w:rFonts w:ascii="Arial" w:hAnsi="Arial" w:cs="Arial"/>
        </w:rPr>
        <w:t>ategy is illustrated in Figure 2</w:t>
      </w:r>
      <w:r>
        <w:rPr>
          <w:rFonts w:ascii="Arial" w:hAnsi="Arial" w:cs="Arial"/>
        </w:rPr>
        <w:t xml:space="preserve"> below and is based on linking three components:</w:t>
      </w:r>
    </w:p>
    <w:p w:rsidR="00BE13A8" w:rsidRDefault="00BE13A8" w:rsidP="001B3A34">
      <w:pPr>
        <w:spacing w:after="0" w:line="240" w:lineRule="auto"/>
        <w:jc w:val="both"/>
        <w:rPr>
          <w:rFonts w:ascii="Arial" w:hAnsi="Arial" w:cs="Arial"/>
        </w:rPr>
      </w:pPr>
    </w:p>
    <w:p w:rsidR="00C51C43" w:rsidRPr="005B39C6" w:rsidRDefault="00C51C43" w:rsidP="001B3A34">
      <w:pPr>
        <w:pStyle w:val="ListParagraph"/>
        <w:numPr>
          <w:ilvl w:val="0"/>
          <w:numId w:val="30"/>
        </w:numPr>
        <w:spacing w:after="0" w:line="240" w:lineRule="auto"/>
        <w:jc w:val="both"/>
        <w:rPr>
          <w:rFonts w:ascii="Arial" w:hAnsi="Arial" w:cs="Arial"/>
        </w:rPr>
      </w:pPr>
      <w:r w:rsidRPr="005B39C6">
        <w:rPr>
          <w:rFonts w:ascii="Arial" w:hAnsi="Arial" w:cs="Arial"/>
        </w:rPr>
        <w:t xml:space="preserve">sources </w:t>
      </w:r>
      <w:r w:rsidR="005B39C6" w:rsidRPr="005B39C6">
        <w:rPr>
          <w:rFonts w:ascii="Arial" w:hAnsi="Arial" w:cs="Arial"/>
        </w:rPr>
        <w:t>of lessons and other relevant knowledge;</w:t>
      </w:r>
    </w:p>
    <w:p w:rsidR="00C51C43" w:rsidRPr="005B39C6" w:rsidRDefault="00C51C43" w:rsidP="001B3A34">
      <w:pPr>
        <w:pStyle w:val="ListParagraph"/>
        <w:numPr>
          <w:ilvl w:val="0"/>
          <w:numId w:val="30"/>
        </w:numPr>
        <w:spacing w:after="0" w:line="240" w:lineRule="auto"/>
        <w:jc w:val="both"/>
        <w:rPr>
          <w:rFonts w:ascii="Arial" w:hAnsi="Arial" w:cs="Arial"/>
        </w:rPr>
      </w:pPr>
      <w:r w:rsidRPr="005B39C6">
        <w:rPr>
          <w:rFonts w:ascii="Arial" w:hAnsi="Arial" w:cs="Arial"/>
        </w:rPr>
        <w:t>mechanisms</w:t>
      </w:r>
      <w:r w:rsidR="005B39C6" w:rsidRPr="005B39C6">
        <w:rPr>
          <w:rFonts w:ascii="Arial" w:hAnsi="Arial" w:cs="Arial"/>
        </w:rPr>
        <w:t xml:space="preserve"> for sharing and dissemination; and</w:t>
      </w:r>
    </w:p>
    <w:p w:rsidR="00C51C43" w:rsidRPr="005B39C6" w:rsidRDefault="005B39C6" w:rsidP="001B3A34">
      <w:pPr>
        <w:pStyle w:val="ListParagraph"/>
        <w:numPr>
          <w:ilvl w:val="0"/>
          <w:numId w:val="30"/>
        </w:numPr>
        <w:spacing w:after="0" w:line="240" w:lineRule="auto"/>
        <w:jc w:val="both"/>
        <w:rPr>
          <w:rFonts w:ascii="Arial" w:hAnsi="Arial" w:cs="Arial"/>
        </w:rPr>
      </w:pPr>
      <w:r w:rsidRPr="005B39C6">
        <w:rPr>
          <w:rFonts w:ascii="Arial" w:hAnsi="Arial" w:cs="Arial"/>
        </w:rPr>
        <w:t>target groups.</w:t>
      </w:r>
    </w:p>
    <w:p w:rsidR="00E66891" w:rsidRDefault="00E66891" w:rsidP="001B3A34">
      <w:pPr>
        <w:spacing w:after="0" w:line="240" w:lineRule="auto"/>
        <w:rPr>
          <w:rFonts w:ascii="Arial" w:hAnsi="Arial" w:cs="Arial"/>
        </w:rPr>
      </w:pPr>
    </w:p>
    <w:p w:rsidR="00A17DCA" w:rsidRPr="005B39C6" w:rsidRDefault="00CB0CCA" w:rsidP="001B3A34">
      <w:pPr>
        <w:spacing w:after="0" w:line="240" w:lineRule="auto"/>
        <w:rPr>
          <w:rFonts w:ascii="Arial" w:hAnsi="Arial" w:cs="Arial"/>
          <w:b/>
        </w:rPr>
      </w:pPr>
      <w:r>
        <w:rPr>
          <w:rFonts w:ascii="Arial" w:hAnsi="Arial" w:cs="Arial"/>
          <w:b/>
        </w:rPr>
        <w:t>Figure 2</w:t>
      </w:r>
      <w:r w:rsidR="00F76FAD" w:rsidRPr="005B39C6">
        <w:rPr>
          <w:rFonts w:ascii="Arial" w:hAnsi="Arial" w:cs="Arial"/>
          <w:b/>
        </w:rPr>
        <w:t>: A strategy for exploiting lessons learnt and synergies – Concept</w:t>
      </w:r>
    </w:p>
    <w:p w:rsidR="00F76FAD" w:rsidRDefault="006C4119" w:rsidP="001B3A34">
      <w:pPr>
        <w:spacing w:after="0" w:line="240" w:lineRule="auto"/>
        <w:rPr>
          <w:rFonts w:ascii="Arial" w:hAnsi="Arial" w:cs="Arial"/>
        </w:rPr>
      </w:pPr>
      <w:r w:rsidRPr="006C4119">
        <w:rPr>
          <w:rFonts w:ascii="Arial" w:hAnsi="Arial" w:cs="Arial"/>
        </w:rPr>
        <w:t xml:space="preserve"> </w:t>
      </w:r>
      <w:r w:rsidRPr="006C4119">
        <w:rPr>
          <w:noProof/>
          <w:lang w:val="en-US"/>
        </w:rPr>
        <w:drawing>
          <wp:inline distT="0" distB="0" distL="0" distR="0">
            <wp:extent cx="5731510" cy="4717496"/>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4717496"/>
                    </a:xfrm>
                    <a:prstGeom prst="rect">
                      <a:avLst/>
                    </a:prstGeom>
                    <a:noFill/>
                    <a:ln>
                      <a:noFill/>
                    </a:ln>
                  </pic:spPr>
                </pic:pic>
              </a:graphicData>
            </a:graphic>
          </wp:inline>
        </w:drawing>
      </w:r>
    </w:p>
    <w:p w:rsidR="005B39C6" w:rsidRDefault="005B39C6" w:rsidP="001B3A34">
      <w:pPr>
        <w:spacing w:after="0" w:line="240" w:lineRule="auto"/>
        <w:jc w:val="both"/>
        <w:rPr>
          <w:rFonts w:ascii="Arial" w:hAnsi="Arial" w:cs="Arial"/>
        </w:rPr>
      </w:pPr>
      <w:r>
        <w:rPr>
          <w:rFonts w:ascii="Arial" w:hAnsi="Arial" w:cs="Arial"/>
        </w:rPr>
        <w:t>The interactive nature of this approach is i</w:t>
      </w:r>
      <w:r w:rsidR="00262B66">
        <w:rPr>
          <w:rFonts w:ascii="Arial" w:hAnsi="Arial" w:cs="Arial"/>
        </w:rPr>
        <w:t>llustrated</w:t>
      </w:r>
      <w:r>
        <w:rPr>
          <w:rFonts w:ascii="Arial" w:hAnsi="Arial" w:cs="Arial"/>
        </w:rPr>
        <w:t xml:space="preserve"> in Figure 1, including the importance of feedback from the target groups. </w:t>
      </w:r>
    </w:p>
    <w:p w:rsidR="005F4F9E" w:rsidRDefault="005F4F9E" w:rsidP="001B3A34">
      <w:pPr>
        <w:spacing w:after="0" w:line="240" w:lineRule="auto"/>
        <w:jc w:val="both"/>
        <w:rPr>
          <w:rFonts w:ascii="Arial" w:hAnsi="Arial" w:cs="Arial"/>
        </w:rPr>
      </w:pPr>
    </w:p>
    <w:p w:rsidR="005B39C6" w:rsidRDefault="00A37AE3" w:rsidP="001B3A34">
      <w:pPr>
        <w:spacing w:after="0" w:line="240" w:lineRule="auto"/>
        <w:jc w:val="both"/>
        <w:rPr>
          <w:rFonts w:ascii="Arial" w:hAnsi="Arial" w:cs="Arial"/>
        </w:rPr>
      </w:pPr>
      <w:r>
        <w:rPr>
          <w:rFonts w:ascii="Arial" w:hAnsi="Arial" w:cs="Arial"/>
        </w:rPr>
        <w:t xml:space="preserve">The strategy will seek an efficient use of resources by making maximum use of established tools and </w:t>
      </w:r>
      <w:r w:rsidR="00B433D0">
        <w:rPr>
          <w:rFonts w:ascii="Arial" w:hAnsi="Arial" w:cs="Arial"/>
        </w:rPr>
        <w:t xml:space="preserve">planned </w:t>
      </w:r>
      <w:r>
        <w:rPr>
          <w:rFonts w:ascii="Arial" w:hAnsi="Arial" w:cs="Arial"/>
        </w:rPr>
        <w:t>activities</w:t>
      </w:r>
      <w:r w:rsidR="00B433D0">
        <w:rPr>
          <w:rFonts w:ascii="Arial" w:hAnsi="Arial" w:cs="Arial"/>
        </w:rPr>
        <w:t xml:space="preserve">. It will also rely on maximising synergies with other CBIB+2 activities and especially on benefiting from the communication strategy of the project. Conversely, it is expected that it will be making a contribution to </w:t>
      </w:r>
      <w:r w:rsidR="00150992">
        <w:rPr>
          <w:rFonts w:ascii="Arial" w:hAnsi="Arial" w:cs="Arial"/>
        </w:rPr>
        <w:t xml:space="preserve">the </w:t>
      </w:r>
      <w:r w:rsidR="00B433D0">
        <w:rPr>
          <w:rFonts w:ascii="Arial" w:hAnsi="Arial" w:cs="Arial"/>
        </w:rPr>
        <w:t xml:space="preserve">monitoring of the implementation of the 2014-2020 IPA CBC programmes and the measurement of results and impacts. </w:t>
      </w:r>
    </w:p>
    <w:p w:rsidR="001F54D0" w:rsidRDefault="001F54D0" w:rsidP="001B3A34">
      <w:pPr>
        <w:spacing w:after="0" w:line="240" w:lineRule="auto"/>
        <w:jc w:val="both"/>
        <w:rPr>
          <w:rFonts w:ascii="Arial" w:hAnsi="Arial" w:cs="Arial"/>
        </w:rPr>
      </w:pPr>
    </w:p>
    <w:p w:rsidR="00BF1727" w:rsidRDefault="00BF1727" w:rsidP="001B3A34">
      <w:pPr>
        <w:spacing w:after="0" w:line="240" w:lineRule="auto"/>
        <w:jc w:val="both"/>
        <w:rPr>
          <w:rFonts w:ascii="Arial" w:hAnsi="Arial" w:cs="Arial"/>
        </w:rPr>
      </w:pPr>
    </w:p>
    <w:p w:rsidR="00E66891" w:rsidRPr="00A60206" w:rsidRDefault="00383948" w:rsidP="001B3A34">
      <w:pPr>
        <w:pStyle w:val="Heading1"/>
        <w:spacing w:before="0" w:line="240" w:lineRule="auto"/>
      </w:pPr>
      <w:bookmarkStart w:id="6" w:name="_Toc465088532"/>
      <w:r>
        <w:t>4</w:t>
      </w:r>
      <w:r w:rsidR="001B3A34">
        <w:t xml:space="preserve">. </w:t>
      </w:r>
      <w:r w:rsidR="00E66891" w:rsidRPr="00A60206">
        <w:t>Sources of lessons and knowledge</w:t>
      </w:r>
      <w:bookmarkEnd w:id="6"/>
    </w:p>
    <w:p w:rsidR="005F4F9E" w:rsidRDefault="005F4F9E" w:rsidP="001B3A34">
      <w:pPr>
        <w:spacing w:after="0" w:line="240" w:lineRule="auto"/>
        <w:jc w:val="both"/>
        <w:rPr>
          <w:rFonts w:ascii="Arial" w:hAnsi="Arial" w:cs="Arial"/>
        </w:rPr>
      </w:pPr>
    </w:p>
    <w:p w:rsidR="00E66891" w:rsidRPr="00884B93" w:rsidRDefault="00374530" w:rsidP="001B3A34">
      <w:pPr>
        <w:spacing w:after="0" w:line="240" w:lineRule="auto"/>
        <w:jc w:val="both"/>
        <w:rPr>
          <w:rFonts w:ascii="Arial" w:hAnsi="Arial" w:cs="Arial"/>
        </w:rPr>
      </w:pPr>
      <w:r w:rsidRPr="00884B93">
        <w:rPr>
          <w:rFonts w:ascii="Arial" w:hAnsi="Arial" w:cs="Arial"/>
        </w:rPr>
        <w:t xml:space="preserve">The strategy is expected to tap a number of diverse </w:t>
      </w:r>
      <w:r w:rsidR="00C51C43" w:rsidRPr="00884B93">
        <w:rPr>
          <w:rFonts w:ascii="Arial" w:hAnsi="Arial" w:cs="Arial"/>
        </w:rPr>
        <w:t xml:space="preserve">sources of lessons and </w:t>
      </w:r>
      <w:r w:rsidRPr="00884B93">
        <w:rPr>
          <w:rFonts w:ascii="Arial" w:hAnsi="Arial" w:cs="Arial"/>
        </w:rPr>
        <w:t xml:space="preserve">other relevant </w:t>
      </w:r>
      <w:r w:rsidR="00C51C43" w:rsidRPr="00884B93">
        <w:rPr>
          <w:rFonts w:ascii="Arial" w:hAnsi="Arial" w:cs="Arial"/>
        </w:rPr>
        <w:t>knowledge</w:t>
      </w:r>
      <w:r w:rsidRPr="00884B93">
        <w:rPr>
          <w:rFonts w:ascii="Arial" w:hAnsi="Arial" w:cs="Arial"/>
        </w:rPr>
        <w:t>. The main sources will be as outlined below, but it is assumed that other opportunities could arise during the CBI</w:t>
      </w:r>
      <w:r w:rsidR="00143859">
        <w:rPr>
          <w:rFonts w:ascii="Arial" w:hAnsi="Arial" w:cs="Arial"/>
        </w:rPr>
        <w:t>B</w:t>
      </w:r>
      <w:r w:rsidRPr="00884B93">
        <w:rPr>
          <w:rFonts w:ascii="Arial" w:hAnsi="Arial" w:cs="Arial"/>
        </w:rPr>
        <w:t>+2 implementation period. T</w:t>
      </w:r>
      <w:r w:rsidR="001971E2" w:rsidRPr="00884B93">
        <w:rPr>
          <w:rFonts w:ascii="Arial" w:hAnsi="Arial" w:cs="Arial"/>
        </w:rPr>
        <w:t xml:space="preserve">herefore, the actual and potential sources </w:t>
      </w:r>
      <w:r w:rsidRPr="00884B93">
        <w:rPr>
          <w:rFonts w:ascii="Arial" w:hAnsi="Arial" w:cs="Arial"/>
        </w:rPr>
        <w:t xml:space="preserve">should be kept under review by the </w:t>
      </w:r>
      <w:r w:rsidR="00B84798">
        <w:rPr>
          <w:rFonts w:ascii="Arial" w:hAnsi="Arial" w:cs="Arial"/>
        </w:rPr>
        <w:t xml:space="preserve">CBIB+2 project team and the </w:t>
      </w:r>
      <w:r w:rsidRPr="00AF497F">
        <w:rPr>
          <w:rFonts w:ascii="Arial" w:hAnsi="Arial" w:cs="Arial"/>
          <w:color w:val="000000" w:themeColor="text1"/>
        </w:rPr>
        <w:t xml:space="preserve">proposed </w:t>
      </w:r>
      <w:r w:rsidR="001971E2" w:rsidRPr="00AF497F">
        <w:rPr>
          <w:rFonts w:ascii="Arial" w:hAnsi="Arial" w:cs="Arial"/>
          <w:color w:val="000000" w:themeColor="text1"/>
        </w:rPr>
        <w:t>Technical Working Group (</w:t>
      </w:r>
      <w:r w:rsidR="00A60206" w:rsidRPr="00AF497F">
        <w:rPr>
          <w:rFonts w:ascii="Arial" w:hAnsi="Arial" w:cs="Arial"/>
          <w:color w:val="000000" w:themeColor="text1"/>
        </w:rPr>
        <w:t xml:space="preserve">TWG) </w:t>
      </w:r>
      <w:r w:rsidR="00A60206" w:rsidRPr="00884B93">
        <w:rPr>
          <w:rFonts w:ascii="Arial" w:hAnsi="Arial" w:cs="Arial"/>
        </w:rPr>
        <w:t xml:space="preserve">– see sections 4.1 and 6, </w:t>
      </w:r>
      <w:r w:rsidRPr="00884B93">
        <w:rPr>
          <w:rFonts w:ascii="Arial" w:hAnsi="Arial" w:cs="Arial"/>
        </w:rPr>
        <w:t>below</w:t>
      </w:r>
      <w:r w:rsidR="004C371D">
        <w:rPr>
          <w:rFonts w:ascii="Arial" w:hAnsi="Arial" w:cs="Arial"/>
        </w:rPr>
        <w:t>.</w:t>
      </w:r>
    </w:p>
    <w:p w:rsidR="005F4F9E" w:rsidRDefault="005F4F9E" w:rsidP="001B3A34">
      <w:pPr>
        <w:spacing w:after="0" w:line="240" w:lineRule="auto"/>
        <w:jc w:val="both"/>
        <w:rPr>
          <w:rFonts w:ascii="Arial" w:hAnsi="Arial" w:cs="Arial"/>
          <w:b/>
          <w:i/>
        </w:rPr>
      </w:pPr>
    </w:p>
    <w:p w:rsidR="00C51C43" w:rsidRPr="00884B93" w:rsidRDefault="00C51C43" w:rsidP="001B3A34">
      <w:pPr>
        <w:spacing w:after="0" w:line="240" w:lineRule="auto"/>
        <w:jc w:val="both"/>
        <w:rPr>
          <w:rFonts w:ascii="Arial" w:hAnsi="Arial" w:cs="Arial"/>
        </w:rPr>
      </w:pPr>
      <w:r w:rsidRPr="00884B93">
        <w:rPr>
          <w:rFonts w:ascii="Arial" w:hAnsi="Arial" w:cs="Arial"/>
          <w:b/>
          <w:i/>
        </w:rPr>
        <w:t>EU/ETC capitalisation and related activities</w:t>
      </w:r>
    </w:p>
    <w:p w:rsidR="005F4F9E" w:rsidRDefault="005F4F9E" w:rsidP="001B3A34">
      <w:pPr>
        <w:spacing w:after="0" w:line="240" w:lineRule="auto"/>
        <w:jc w:val="both"/>
        <w:rPr>
          <w:rFonts w:ascii="Arial" w:hAnsi="Arial" w:cs="Arial"/>
        </w:rPr>
      </w:pPr>
    </w:p>
    <w:p w:rsidR="00850103" w:rsidRPr="00884B93" w:rsidRDefault="00850103" w:rsidP="001B3A34">
      <w:pPr>
        <w:spacing w:after="0" w:line="240" w:lineRule="auto"/>
        <w:jc w:val="both"/>
        <w:rPr>
          <w:rFonts w:ascii="Arial" w:hAnsi="Arial" w:cs="Arial"/>
          <w:color w:val="000000"/>
          <w:lang w:eastAsia="en-GB"/>
        </w:rPr>
      </w:pPr>
      <w:r w:rsidRPr="00884B93">
        <w:rPr>
          <w:rFonts w:ascii="Arial" w:hAnsi="Arial" w:cs="Arial"/>
        </w:rPr>
        <w:t xml:space="preserve">Overall, there will be an active promotion of </w:t>
      </w:r>
      <w:r w:rsidRPr="00884B93">
        <w:rPr>
          <w:rFonts w:ascii="Arial" w:hAnsi="Arial" w:cs="Arial"/>
          <w:color w:val="000000"/>
          <w:lang w:eastAsia="en-GB"/>
        </w:rPr>
        <w:t>linkages with ETC and other EU-supported initiatives in the field of territorial cooperation to share knowledge and exploit synergie</w:t>
      </w:r>
      <w:r w:rsidR="00374530" w:rsidRPr="00884B93">
        <w:rPr>
          <w:rFonts w:ascii="Arial" w:hAnsi="Arial" w:cs="Arial"/>
          <w:color w:val="000000"/>
          <w:lang w:eastAsia="en-GB"/>
        </w:rPr>
        <w:t xml:space="preserve">s, including participation of </w:t>
      </w:r>
      <w:r w:rsidR="00481540">
        <w:rPr>
          <w:rFonts w:ascii="Arial" w:hAnsi="Arial" w:cs="Arial"/>
          <w:color w:val="000000"/>
          <w:lang w:eastAsia="en-GB"/>
        </w:rPr>
        <w:t>WB</w:t>
      </w:r>
      <w:r w:rsidR="00374530" w:rsidRPr="00884B93">
        <w:rPr>
          <w:rFonts w:ascii="Arial" w:hAnsi="Arial" w:cs="Arial"/>
          <w:color w:val="000000"/>
          <w:lang w:eastAsia="en-GB"/>
        </w:rPr>
        <w:t xml:space="preserve"> </w:t>
      </w:r>
      <w:r w:rsidRPr="00884B93">
        <w:rPr>
          <w:rFonts w:ascii="Arial" w:hAnsi="Arial" w:cs="Arial"/>
          <w:color w:val="000000"/>
          <w:lang w:eastAsia="en-GB"/>
        </w:rPr>
        <w:t>CBC stakeholders in INTERACT</w:t>
      </w:r>
      <w:r w:rsidR="00B84798">
        <w:rPr>
          <w:rFonts w:ascii="Arial" w:hAnsi="Arial" w:cs="Arial"/>
          <w:color w:val="000000"/>
          <w:lang w:eastAsia="en-GB"/>
        </w:rPr>
        <w:t>, EC DG REGIO</w:t>
      </w:r>
      <w:r w:rsidRPr="00884B93">
        <w:rPr>
          <w:rFonts w:ascii="Arial" w:hAnsi="Arial" w:cs="Arial"/>
          <w:color w:val="000000"/>
          <w:lang w:eastAsia="en-GB"/>
        </w:rPr>
        <w:t xml:space="preserve"> and other ETC seminars, and other relevant activities. </w:t>
      </w:r>
    </w:p>
    <w:p w:rsidR="005F4F9E" w:rsidRDefault="005F4F9E" w:rsidP="001B3A34">
      <w:pPr>
        <w:spacing w:after="0" w:line="240" w:lineRule="auto"/>
        <w:jc w:val="both"/>
        <w:rPr>
          <w:rFonts w:ascii="Arial" w:hAnsi="Arial" w:cs="Arial"/>
          <w:color w:val="000000"/>
          <w:lang w:eastAsia="en-GB"/>
        </w:rPr>
      </w:pPr>
    </w:p>
    <w:p w:rsidR="00E966CB" w:rsidRPr="00884B93" w:rsidRDefault="00374530" w:rsidP="001B3A34">
      <w:pPr>
        <w:spacing w:after="0" w:line="240" w:lineRule="auto"/>
        <w:jc w:val="both"/>
        <w:rPr>
          <w:rFonts w:ascii="Arial" w:hAnsi="Arial" w:cs="Arial"/>
          <w:color w:val="000000"/>
          <w:lang w:eastAsia="en-GB"/>
        </w:rPr>
      </w:pPr>
      <w:r w:rsidRPr="00884B93">
        <w:rPr>
          <w:rFonts w:ascii="Arial" w:hAnsi="Arial" w:cs="Arial"/>
          <w:color w:val="000000"/>
          <w:lang w:eastAsia="en-GB"/>
        </w:rPr>
        <w:t>Particular importance</w:t>
      </w:r>
      <w:r w:rsidR="00B84798">
        <w:rPr>
          <w:rFonts w:ascii="Arial" w:hAnsi="Arial" w:cs="Arial"/>
          <w:color w:val="000000"/>
          <w:lang w:eastAsia="en-GB"/>
        </w:rPr>
        <w:t xml:space="preserve"> will</w:t>
      </w:r>
      <w:r w:rsidRPr="00884B93">
        <w:rPr>
          <w:rFonts w:ascii="Arial" w:hAnsi="Arial" w:cs="Arial"/>
          <w:color w:val="000000"/>
          <w:lang w:eastAsia="en-GB"/>
        </w:rPr>
        <w:t xml:space="preserve"> be attached to making systematic use of structured capitalisation exercises,</w:t>
      </w:r>
      <w:r w:rsidR="001971E2" w:rsidRPr="00884B93">
        <w:rPr>
          <w:rFonts w:ascii="Arial" w:hAnsi="Arial" w:cs="Arial"/>
          <w:color w:val="000000"/>
          <w:lang w:eastAsia="en-GB"/>
        </w:rPr>
        <w:t xml:space="preserve"> undertaken under relevant programmes. R</w:t>
      </w:r>
      <w:r w:rsidR="00E966CB" w:rsidRPr="00884B93">
        <w:rPr>
          <w:rFonts w:ascii="Arial" w:hAnsi="Arial" w:cs="Arial"/>
          <w:color w:val="000000"/>
          <w:lang w:eastAsia="en-GB"/>
        </w:rPr>
        <w:t xml:space="preserve">ecent capitalisation activities </w:t>
      </w:r>
      <w:r w:rsidR="001971E2" w:rsidRPr="00884B93">
        <w:rPr>
          <w:rFonts w:ascii="Arial" w:hAnsi="Arial" w:cs="Arial"/>
          <w:color w:val="000000"/>
          <w:lang w:eastAsia="en-GB"/>
        </w:rPr>
        <w:t>include</w:t>
      </w:r>
      <w:r w:rsidR="00E966CB" w:rsidRPr="00884B93">
        <w:rPr>
          <w:rFonts w:ascii="Arial" w:hAnsi="Arial" w:cs="Arial"/>
          <w:color w:val="000000"/>
          <w:lang w:eastAsia="en-GB"/>
        </w:rPr>
        <w:t xml:space="preserve"> transnational cooperation programmes of direct relevance to the </w:t>
      </w:r>
      <w:r w:rsidR="00481540">
        <w:rPr>
          <w:rFonts w:ascii="Arial" w:hAnsi="Arial" w:cs="Arial"/>
          <w:color w:val="000000"/>
          <w:lang w:eastAsia="en-GB"/>
        </w:rPr>
        <w:t>WB</w:t>
      </w:r>
      <w:r w:rsidR="00E966CB" w:rsidRPr="00884B93">
        <w:rPr>
          <w:rFonts w:ascii="Arial" w:hAnsi="Arial" w:cs="Arial"/>
          <w:color w:val="000000"/>
          <w:lang w:eastAsia="en-GB"/>
        </w:rPr>
        <w:t>, such as the SEE</w:t>
      </w:r>
      <w:r w:rsidR="00E966CB" w:rsidRPr="00884B93">
        <w:rPr>
          <w:rStyle w:val="FootnoteReference"/>
          <w:rFonts w:ascii="Arial" w:hAnsi="Arial" w:cs="Arial"/>
          <w:color w:val="000000"/>
          <w:sz w:val="18"/>
          <w:lang w:eastAsia="en-GB"/>
        </w:rPr>
        <w:footnoteReference w:id="5"/>
      </w:r>
      <w:r w:rsidR="00E966CB" w:rsidRPr="00884B93">
        <w:rPr>
          <w:rFonts w:ascii="Arial" w:hAnsi="Arial" w:cs="Arial"/>
          <w:color w:val="000000"/>
          <w:lang w:eastAsia="en-GB"/>
        </w:rPr>
        <w:t xml:space="preserve"> and MED</w:t>
      </w:r>
      <w:r w:rsidR="005F4F9E" w:rsidRPr="00884B93">
        <w:rPr>
          <w:rStyle w:val="FootnoteReference"/>
          <w:rFonts w:ascii="Arial" w:hAnsi="Arial" w:cs="Arial"/>
          <w:color w:val="000000"/>
          <w:sz w:val="18"/>
          <w:lang w:eastAsia="en-GB"/>
        </w:rPr>
        <w:footnoteReference w:id="6"/>
      </w:r>
      <w:r w:rsidR="001971E2" w:rsidRPr="00884B93">
        <w:rPr>
          <w:rFonts w:ascii="Arial" w:hAnsi="Arial" w:cs="Arial"/>
          <w:color w:val="000000"/>
          <w:lang w:eastAsia="en-GB"/>
        </w:rPr>
        <w:t xml:space="preserve"> programme</w:t>
      </w:r>
      <w:r w:rsidR="005F4F9E">
        <w:rPr>
          <w:rFonts w:ascii="Arial" w:hAnsi="Arial" w:cs="Arial"/>
          <w:color w:val="000000"/>
          <w:lang w:eastAsia="en-GB"/>
        </w:rPr>
        <w:t>s</w:t>
      </w:r>
      <w:r w:rsidR="001971E2" w:rsidRPr="00884B93">
        <w:rPr>
          <w:rFonts w:ascii="Arial" w:hAnsi="Arial" w:cs="Arial"/>
          <w:color w:val="000000"/>
          <w:lang w:eastAsia="en-GB"/>
        </w:rPr>
        <w:t>.</w:t>
      </w:r>
    </w:p>
    <w:p w:rsidR="005F4F9E" w:rsidRDefault="005F4F9E" w:rsidP="001B3A34">
      <w:pPr>
        <w:spacing w:after="0" w:line="240" w:lineRule="auto"/>
        <w:jc w:val="both"/>
        <w:rPr>
          <w:rFonts w:ascii="Arial" w:hAnsi="Arial" w:cs="Arial"/>
          <w:b/>
          <w:i/>
        </w:rPr>
      </w:pPr>
    </w:p>
    <w:p w:rsidR="00C51C43" w:rsidRPr="00884B93" w:rsidRDefault="00C51C43" w:rsidP="001B3A34">
      <w:pPr>
        <w:spacing w:after="0" w:line="240" w:lineRule="auto"/>
        <w:jc w:val="both"/>
        <w:rPr>
          <w:rFonts w:ascii="Arial" w:hAnsi="Arial" w:cs="Arial"/>
          <w:b/>
          <w:i/>
        </w:rPr>
      </w:pPr>
      <w:r w:rsidRPr="00884B93">
        <w:rPr>
          <w:rFonts w:ascii="Arial" w:hAnsi="Arial" w:cs="Arial"/>
          <w:b/>
          <w:i/>
        </w:rPr>
        <w:t>Best practice – databases and other documentation</w:t>
      </w:r>
    </w:p>
    <w:p w:rsidR="005F4F9E" w:rsidRDefault="005F4F9E" w:rsidP="001B3A34">
      <w:pPr>
        <w:spacing w:after="0" w:line="240" w:lineRule="auto"/>
        <w:jc w:val="both"/>
        <w:rPr>
          <w:rFonts w:ascii="Arial" w:hAnsi="Arial" w:cs="Arial"/>
        </w:rPr>
      </w:pPr>
    </w:p>
    <w:p w:rsidR="00850103" w:rsidRPr="00884B93" w:rsidRDefault="00850103" w:rsidP="001B3A34">
      <w:pPr>
        <w:spacing w:after="0" w:line="240" w:lineRule="auto"/>
        <w:jc w:val="both"/>
        <w:rPr>
          <w:rFonts w:ascii="Arial" w:hAnsi="Arial" w:cs="Arial"/>
        </w:rPr>
      </w:pPr>
      <w:r w:rsidRPr="00884B93">
        <w:rPr>
          <w:rFonts w:ascii="Arial" w:hAnsi="Arial" w:cs="Arial"/>
        </w:rPr>
        <w:t>During the first phase of CBIB+, the project d</w:t>
      </w:r>
      <w:r w:rsidR="00821A73">
        <w:rPr>
          <w:rFonts w:ascii="Arial" w:hAnsi="Arial" w:cs="Arial"/>
        </w:rPr>
        <w:t>eveloped a database with some 46</w:t>
      </w:r>
      <w:r w:rsidRPr="00884B93">
        <w:rPr>
          <w:rFonts w:ascii="Arial" w:hAnsi="Arial" w:cs="Arial"/>
        </w:rPr>
        <w:t xml:space="preserve"> examples of best practice</w:t>
      </w:r>
      <w:r w:rsidR="001971E2" w:rsidRPr="00884B93">
        <w:rPr>
          <w:rFonts w:ascii="Arial" w:hAnsi="Arial" w:cs="Arial"/>
        </w:rPr>
        <w:t>s</w:t>
      </w:r>
      <w:r w:rsidRPr="00884B93">
        <w:rPr>
          <w:rFonts w:ascii="Arial" w:hAnsi="Arial" w:cs="Arial"/>
        </w:rPr>
        <w:t xml:space="preserve"> drawn from intra-WB, EU-EU and EU-non EU borders, using a structured approach </w:t>
      </w:r>
      <w:r w:rsidR="001971E2" w:rsidRPr="00884B93">
        <w:rPr>
          <w:rFonts w:ascii="Arial" w:hAnsi="Arial" w:cs="Arial"/>
        </w:rPr>
        <w:t xml:space="preserve">based on defined </w:t>
      </w:r>
      <w:r w:rsidRPr="00884B93">
        <w:rPr>
          <w:rFonts w:ascii="Arial" w:hAnsi="Arial" w:cs="Arial"/>
        </w:rPr>
        <w:t>criteria and indicators, and asse</w:t>
      </w:r>
      <w:r w:rsidR="001971E2" w:rsidRPr="00884B93">
        <w:rPr>
          <w:rFonts w:ascii="Arial" w:hAnsi="Arial" w:cs="Arial"/>
        </w:rPr>
        <w:t>ssment by OS</w:t>
      </w:r>
      <w:r w:rsidR="00481540">
        <w:rPr>
          <w:rFonts w:ascii="Arial" w:hAnsi="Arial" w:cs="Arial"/>
        </w:rPr>
        <w:t>s</w:t>
      </w:r>
      <w:r w:rsidR="001971E2" w:rsidRPr="00884B93">
        <w:rPr>
          <w:rFonts w:ascii="Arial" w:hAnsi="Arial" w:cs="Arial"/>
        </w:rPr>
        <w:t>/</w:t>
      </w:r>
      <w:r w:rsidR="00481540">
        <w:rPr>
          <w:rFonts w:ascii="Arial" w:hAnsi="Arial" w:cs="Arial"/>
        </w:rPr>
        <w:t>Contracting Authorities (</w:t>
      </w:r>
      <w:r w:rsidR="001971E2" w:rsidRPr="00884B93">
        <w:rPr>
          <w:rFonts w:ascii="Arial" w:hAnsi="Arial" w:cs="Arial"/>
        </w:rPr>
        <w:t>CAs</w:t>
      </w:r>
      <w:r w:rsidR="00481540">
        <w:rPr>
          <w:rFonts w:ascii="Arial" w:hAnsi="Arial" w:cs="Arial"/>
        </w:rPr>
        <w:t>)_</w:t>
      </w:r>
      <w:r w:rsidR="001971E2" w:rsidRPr="00884B93">
        <w:rPr>
          <w:rFonts w:ascii="Arial" w:hAnsi="Arial" w:cs="Arial"/>
        </w:rPr>
        <w:t xml:space="preserve"> and JTSs. The CBIB+ </w:t>
      </w:r>
      <w:r w:rsidR="00B84798">
        <w:rPr>
          <w:rFonts w:ascii="Arial" w:hAnsi="Arial" w:cs="Arial"/>
        </w:rPr>
        <w:t xml:space="preserve">database </w:t>
      </w:r>
      <w:r w:rsidR="00C219B4">
        <w:rPr>
          <w:rFonts w:ascii="Arial" w:hAnsi="Arial" w:cs="Arial"/>
        </w:rPr>
        <w:t>will</w:t>
      </w:r>
      <w:r w:rsidRPr="00884B93">
        <w:rPr>
          <w:rFonts w:ascii="Arial" w:hAnsi="Arial" w:cs="Arial"/>
        </w:rPr>
        <w:t xml:space="preserve"> be expanded further with </w:t>
      </w:r>
      <w:r w:rsidRPr="00884B93">
        <w:rPr>
          <w:rFonts w:ascii="Arial" w:hAnsi="Arial" w:cs="Arial"/>
          <w:lang w:eastAsia="en-GB"/>
        </w:rPr>
        <w:t xml:space="preserve">new examples drawn from recent calls for proposals and, particularly, from thematic priority fields which are prominent in the </w:t>
      </w:r>
      <w:r w:rsidR="000143A3">
        <w:rPr>
          <w:rFonts w:ascii="Arial" w:hAnsi="Arial" w:cs="Arial"/>
          <w:lang w:eastAsia="en-GB"/>
        </w:rPr>
        <w:t xml:space="preserve">2014-2020 </w:t>
      </w:r>
      <w:r w:rsidRPr="00884B93">
        <w:rPr>
          <w:rFonts w:ascii="Arial" w:hAnsi="Arial" w:cs="Arial"/>
          <w:lang w:eastAsia="en-GB"/>
        </w:rPr>
        <w:t>IPA</w:t>
      </w:r>
      <w:r w:rsidR="000143A3">
        <w:rPr>
          <w:rFonts w:ascii="Arial" w:hAnsi="Arial" w:cs="Arial"/>
          <w:lang w:eastAsia="en-GB"/>
        </w:rPr>
        <w:t xml:space="preserve"> II</w:t>
      </w:r>
      <w:r w:rsidRPr="00884B93">
        <w:rPr>
          <w:rFonts w:ascii="Arial" w:hAnsi="Arial" w:cs="Arial"/>
          <w:lang w:eastAsia="en-GB"/>
        </w:rPr>
        <w:t xml:space="preserve"> CBC programmes. This can be </w:t>
      </w:r>
      <w:r w:rsidR="001971E2" w:rsidRPr="00884B93">
        <w:rPr>
          <w:rFonts w:ascii="Arial" w:hAnsi="Arial" w:cs="Arial"/>
          <w:lang w:eastAsia="en-GB"/>
        </w:rPr>
        <w:t xml:space="preserve">undertaken </w:t>
      </w:r>
      <w:r w:rsidRPr="00884B93">
        <w:rPr>
          <w:rFonts w:ascii="Arial" w:hAnsi="Arial" w:cs="Arial"/>
          <w:lang w:eastAsia="en-GB"/>
        </w:rPr>
        <w:t xml:space="preserve">in conjunction with the preparation of information </w:t>
      </w:r>
      <w:r w:rsidR="001971E2" w:rsidRPr="00884B93">
        <w:rPr>
          <w:rFonts w:ascii="Arial" w:hAnsi="Arial" w:cs="Arial"/>
          <w:lang w:eastAsia="en-GB"/>
        </w:rPr>
        <w:t xml:space="preserve">items for the CBIB+ newsletter </w:t>
      </w:r>
      <w:r w:rsidR="00916EB8">
        <w:rPr>
          <w:rFonts w:ascii="Arial" w:hAnsi="Arial" w:cs="Arial"/>
          <w:lang w:eastAsia="en-GB"/>
        </w:rPr>
        <w:t>‘Yellow</w:t>
      </w:r>
      <w:r w:rsidR="00916EB8" w:rsidRPr="00884B93">
        <w:rPr>
          <w:rFonts w:ascii="Arial" w:hAnsi="Arial" w:cs="Arial"/>
          <w:lang w:eastAsia="en-GB"/>
        </w:rPr>
        <w:t>&amp;</w:t>
      </w:r>
      <w:r w:rsidR="005A2E26">
        <w:rPr>
          <w:rFonts w:ascii="Arial" w:hAnsi="Arial" w:cs="Arial"/>
          <w:lang w:eastAsia="en-GB"/>
        </w:rPr>
        <w:t>B</w:t>
      </w:r>
      <w:r w:rsidR="00916EB8" w:rsidRPr="00884B93">
        <w:rPr>
          <w:rFonts w:ascii="Arial" w:hAnsi="Arial" w:cs="Arial"/>
          <w:lang w:eastAsia="en-GB"/>
        </w:rPr>
        <w:t>lue’</w:t>
      </w:r>
      <w:r w:rsidR="00916EB8">
        <w:rPr>
          <w:rFonts w:ascii="Arial" w:hAnsi="Arial" w:cs="Arial"/>
          <w:lang w:eastAsia="en-GB"/>
        </w:rPr>
        <w:t xml:space="preserve"> </w:t>
      </w:r>
      <w:r w:rsidRPr="00884B93">
        <w:rPr>
          <w:rFonts w:ascii="Arial" w:hAnsi="Arial" w:cs="Arial"/>
          <w:lang w:eastAsia="en-GB"/>
        </w:rPr>
        <w:t xml:space="preserve">and </w:t>
      </w:r>
      <w:r w:rsidR="00916EB8">
        <w:rPr>
          <w:rFonts w:ascii="Arial" w:hAnsi="Arial" w:cs="Arial"/>
          <w:lang w:eastAsia="en-GB"/>
        </w:rPr>
        <w:t xml:space="preserve">other </w:t>
      </w:r>
      <w:r w:rsidR="00B84798">
        <w:rPr>
          <w:rFonts w:ascii="Arial" w:hAnsi="Arial" w:cs="Arial"/>
          <w:lang w:eastAsia="en-GB"/>
        </w:rPr>
        <w:t xml:space="preserve">CBIB+ </w:t>
      </w:r>
      <w:r w:rsidR="00916EB8">
        <w:rPr>
          <w:rFonts w:ascii="Arial" w:hAnsi="Arial" w:cs="Arial"/>
          <w:lang w:eastAsia="en-GB"/>
        </w:rPr>
        <w:t xml:space="preserve">publications. </w:t>
      </w:r>
    </w:p>
    <w:p w:rsidR="000143A3" w:rsidRDefault="000143A3" w:rsidP="001B3A34">
      <w:pPr>
        <w:spacing w:after="0" w:line="240" w:lineRule="auto"/>
        <w:jc w:val="both"/>
        <w:rPr>
          <w:rFonts w:ascii="Arial" w:hAnsi="Arial" w:cs="Arial"/>
        </w:rPr>
      </w:pPr>
    </w:p>
    <w:p w:rsidR="009D7393" w:rsidRPr="00884B93" w:rsidRDefault="00884B93" w:rsidP="001B3A34">
      <w:pPr>
        <w:spacing w:after="0" w:line="240" w:lineRule="auto"/>
        <w:jc w:val="both"/>
        <w:rPr>
          <w:rFonts w:ascii="Arial" w:hAnsi="Arial" w:cs="Arial"/>
        </w:rPr>
      </w:pPr>
      <w:r w:rsidRPr="00884B93">
        <w:rPr>
          <w:rFonts w:ascii="Arial" w:hAnsi="Arial" w:cs="Arial"/>
        </w:rPr>
        <w:t xml:space="preserve">However, priority will be accorded to </w:t>
      </w:r>
      <w:r w:rsidR="00850103" w:rsidRPr="00884B93">
        <w:rPr>
          <w:rFonts w:ascii="Arial" w:hAnsi="Arial" w:cs="Arial"/>
        </w:rPr>
        <w:t xml:space="preserve">offering links to a broader range of documentation of </w:t>
      </w:r>
      <w:r w:rsidR="009D7393" w:rsidRPr="00884B93">
        <w:rPr>
          <w:rFonts w:ascii="Arial" w:hAnsi="Arial" w:cs="Arial"/>
        </w:rPr>
        <w:t xml:space="preserve">good and </w:t>
      </w:r>
      <w:r w:rsidR="00850103" w:rsidRPr="00884B93">
        <w:rPr>
          <w:rFonts w:ascii="Arial" w:hAnsi="Arial" w:cs="Arial"/>
        </w:rPr>
        <w:t xml:space="preserve">best practices, </w:t>
      </w:r>
      <w:r w:rsidR="009D7393" w:rsidRPr="00884B93">
        <w:rPr>
          <w:rFonts w:ascii="Arial" w:hAnsi="Arial" w:cs="Arial"/>
        </w:rPr>
        <w:t>including those</w:t>
      </w:r>
      <w:r w:rsidRPr="00884B93">
        <w:rPr>
          <w:rFonts w:ascii="Arial" w:hAnsi="Arial" w:cs="Arial"/>
        </w:rPr>
        <w:t xml:space="preserve"> of INTERACT and other EU/ETC sources. Indeed, </w:t>
      </w:r>
      <w:r w:rsidR="009D7393" w:rsidRPr="00884B93">
        <w:rPr>
          <w:rFonts w:ascii="Arial" w:hAnsi="Arial" w:cs="Arial"/>
        </w:rPr>
        <w:t xml:space="preserve">individual ETC and IPA CBC </w:t>
      </w:r>
      <w:r w:rsidRPr="00884B93">
        <w:rPr>
          <w:rFonts w:ascii="Arial" w:hAnsi="Arial" w:cs="Arial"/>
        </w:rPr>
        <w:t>programmes offer a wealth of such information and knowledge including d</w:t>
      </w:r>
      <w:r w:rsidR="009D7393" w:rsidRPr="00884B93">
        <w:rPr>
          <w:rFonts w:ascii="Arial" w:hAnsi="Arial" w:cs="Arial"/>
        </w:rPr>
        <w:t>atabases, various publications, such as programme and project brochures</w:t>
      </w:r>
      <w:r w:rsidR="009D7393" w:rsidRPr="00884B93">
        <w:rPr>
          <w:rStyle w:val="FootnoteReference"/>
          <w:rFonts w:ascii="Arial" w:hAnsi="Arial" w:cs="Arial"/>
          <w:sz w:val="18"/>
        </w:rPr>
        <w:footnoteReference w:id="7"/>
      </w:r>
      <w:r w:rsidR="009D7393" w:rsidRPr="00884B93">
        <w:rPr>
          <w:rFonts w:ascii="Arial" w:hAnsi="Arial" w:cs="Arial"/>
        </w:rPr>
        <w:t>, conference presentations and proceedings</w:t>
      </w:r>
      <w:r w:rsidR="009D7393" w:rsidRPr="00884B93">
        <w:rPr>
          <w:rStyle w:val="FootnoteReference"/>
          <w:rFonts w:ascii="Arial" w:hAnsi="Arial" w:cs="Arial"/>
          <w:sz w:val="18"/>
        </w:rPr>
        <w:footnoteReference w:id="8"/>
      </w:r>
      <w:r w:rsidR="009D7393" w:rsidRPr="00884B93">
        <w:rPr>
          <w:rFonts w:ascii="Arial" w:hAnsi="Arial" w:cs="Arial"/>
        </w:rPr>
        <w:t>, etc.</w:t>
      </w:r>
    </w:p>
    <w:p w:rsidR="000143A3" w:rsidRDefault="000143A3" w:rsidP="001B3A34">
      <w:pPr>
        <w:spacing w:after="0" w:line="240" w:lineRule="auto"/>
        <w:rPr>
          <w:rFonts w:ascii="Arial" w:hAnsi="Arial" w:cs="Arial"/>
          <w:b/>
          <w:i/>
        </w:rPr>
      </w:pPr>
    </w:p>
    <w:p w:rsidR="00C51C43" w:rsidRPr="00C51C43" w:rsidRDefault="00C51C43" w:rsidP="001B3A34">
      <w:pPr>
        <w:spacing w:after="0" w:line="240" w:lineRule="auto"/>
        <w:rPr>
          <w:rFonts w:ascii="Arial" w:hAnsi="Arial" w:cs="Arial"/>
          <w:b/>
          <w:i/>
        </w:rPr>
      </w:pPr>
      <w:r w:rsidRPr="00C51C43">
        <w:rPr>
          <w:rFonts w:ascii="Arial" w:hAnsi="Arial" w:cs="Arial"/>
          <w:b/>
          <w:i/>
        </w:rPr>
        <w:t>Feedback from study visits and</w:t>
      </w:r>
      <w:r w:rsidR="009568CB">
        <w:rPr>
          <w:rFonts w:ascii="Arial" w:hAnsi="Arial" w:cs="Arial"/>
          <w:b/>
          <w:i/>
        </w:rPr>
        <w:t>/or</w:t>
      </w:r>
      <w:r w:rsidRPr="00C51C43">
        <w:rPr>
          <w:rFonts w:ascii="Arial" w:hAnsi="Arial" w:cs="Arial"/>
          <w:b/>
          <w:i/>
        </w:rPr>
        <w:t xml:space="preserve"> exchanges</w:t>
      </w:r>
    </w:p>
    <w:p w:rsidR="000143A3" w:rsidRDefault="000143A3" w:rsidP="001B3A34">
      <w:pPr>
        <w:spacing w:after="0" w:line="240" w:lineRule="auto"/>
        <w:jc w:val="both"/>
        <w:rPr>
          <w:rFonts w:ascii="Arial" w:hAnsi="Arial" w:cs="Arial"/>
        </w:rPr>
      </w:pPr>
    </w:p>
    <w:p w:rsidR="00E254FB" w:rsidRDefault="00E254FB" w:rsidP="001B3A34">
      <w:pPr>
        <w:spacing w:after="0" w:line="240" w:lineRule="auto"/>
        <w:jc w:val="both"/>
        <w:rPr>
          <w:rFonts w:ascii="Arial" w:hAnsi="Arial" w:cs="Arial"/>
        </w:rPr>
      </w:pPr>
      <w:r>
        <w:rPr>
          <w:rFonts w:ascii="Arial" w:hAnsi="Arial" w:cs="Arial"/>
        </w:rPr>
        <w:t>A significant number of study visits or tours are planned in the framework of technical assistance provision in individual IPA CBC programmes</w:t>
      </w:r>
      <w:r w:rsidR="00D04BCE">
        <w:rPr>
          <w:rFonts w:ascii="Arial" w:hAnsi="Arial" w:cs="Arial"/>
        </w:rPr>
        <w:t>, under the new TA service contracts</w:t>
      </w:r>
      <w:r>
        <w:rPr>
          <w:rFonts w:ascii="Arial" w:hAnsi="Arial" w:cs="Arial"/>
        </w:rPr>
        <w:t xml:space="preserve">. It will therefore be appropriate to seek </w:t>
      </w:r>
      <w:r w:rsidR="000143A3">
        <w:rPr>
          <w:rFonts w:ascii="Arial" w:hAnsi="Arial" w:cs="Arial"/>
        </w:rPr>
        <w:t xml:space="preserve">and </w:t>
      </w:r>
      <w:r>
        <w:rPr>
          <w:rFonts w:ascii="Arial" w:hAnsi="Arial" w:cs="Arial"/>
        </w:rPr>
        <w:t xml:space="preserve">obtain </w:t>
      </w:r>
      <w:r w:rsidRPr="00CA2D80">
        <w:rPr>
          <w:rFonts w:ascii="Arial" w:hAnsi="Arial" w:cs="Arial"/>
        </w:rPr>
        <w:t xml:space="preserve">feedback </w:t>
      </w:r>
      <w:r>
        <w:rPr>
          <w:rFonts w:ascii="Arial" w:hAnsi="Arial" w:cs="Arial"/>
        </w:rPr>
        <w:t xml:space="preserve">in a systematic way </w:t>
      </w:r>
      <w:r w:rsidRPr="00CA2D80">
        <w:rPr>
          <w:rFonts w:ascii="Arial" w:hAnsi="Arial" w:cs="Arial"/>
        </w:rPr>
        <w:lastRenderedPageBreak/>
        <w:t xml:space="preserve">from </w:t>
      </w:r>
      <w:r>
        <w:rPr>
          <w:rFonts w:ascii="Arial" w:hAnsi="Arial" w:cs="Arial"/>
        </w:rPr>
        <w:t>such activities and to share it within the region.</w:t>
      </w:r>
      <w:r w:rsidR="007B1F7C">
        <w:rPr>
          <w:rFonts w:ascii="Arial" w:hAnsi="Arial" w:cs="Arial"/>
        </w:rPr>
        <w:t xml:space="preserve"> In this respect the CBIB+2 has been developed </w:t>
      </w:r>
      <w:r w:rsidR="00D91276">
        <w:rPr>
          <w:rFonts w:ascii="Arial" w:hAnsi="Arial" w:cs="Arial"/>
        </w:rPr>
        <w:t>a template to be used while reporting on the implemented study visits, under the TASC (annex 28 of the handbook/toolkit for the TASC management)</w:t>
      </w:r>
    </w:p>
    <w:p w:rsidR="005367F0" w:rsidRDefault="005367F0" w:rsidP="001B3A34">
      <w:pPr>
        <w:spacing w:after="0" w:line="240" w:lineRule="auto"/>
        <w:jc w:val="both"/>
        <w:rPr>
          <w:rFonts w:ascii="Arial" w:hAnsi="Arial" w:cs="Arial"/>
        </w:rPr>
      </w:pPr>
    </w:p>
    <w:p w:rsidR="00E254FB" w:rsidRPr="006A0D14" w:rsidRDefault="00E254FB" w:rsidP="001B3A34">
      <w:pPr>
        <w:spacing w:after="0" w:line="240" w:lineRule="auto"/>
        <w:jc w:val="both"/>
        <w:rPr>
          <w:rFonts w:ascii="Arial" w:hAnsi="Arial" w:cs="Arial"/>
          <w:szCs w:val="24"/>
        </w:rPr>
      </w:pPr>
      <w:r>
        <w:rPr>
          <w:rFonts w:ascii="Arial" w:hAnsi="Arial" w:cs="Arial"/>
        </w:rPr>
        <w:t xml:space="preserve">It is not envisaged that </w:t>
      </w:r>
      <w:r w:rsidR="00964D56">
        <w:rPr>
          <w:rFonts w:ascii="Arial" w:hAnsi="Arial" w:cs="Arial"/>
        </w:rPr>
        <w:t xml:space="preserve">the CBIB+2 project team directly organises </w:t>
      </w:r>
      <w:r>
        <w:rPr>
          <w:rFonts w:ascii="Arial" w:hAnsi="Arial" w:cs="Arial"/>
        </w:rPr>
        <w:t>any study</w:t>
      </w:r>
      <w:r w:rsidR="00964D56">
        <w:rPr>
          <w:rFonts w:ascii="Arial" w:hAnsi="Arial" w:cs="Arial"/>
        </w:rPr>
        <w:t xml:space="preserve"> visit</w:t>
      </w:r>
      <w:r w:rsidR="00E94BA3">
        <w:rPr>
          <w:rFonts w:ascii="Arial" w:hAnsi="Arial" w:cs="Arial"/>
        </w:rPr>
        <w:t>.</w:t>
      </w:r>
      <w:r w:rsidR="00964D56">
        <w:rPr>
          <w:rFonts w:ascii="Arial" w:hAnsi="Arial" w:cs="Arial"/>
        </w:rPr>
        <w:t xml:space="preserve"> The </w:t>
      </w:r>
      <w:r w:rsidR="006A0D14">
        <w:rPr>
          <w:rFonts w:ascii="Arial" w:hAnsi="Arial" w:cs="Arial"/>
        </w:rPr>
        <w:t xml:space="preserve">team will focus instead on encouraging and supporting </w:t>
      </w:r>
      <w:r w:rsidR="00B84798">
        <w:rPr>
          <w:rFonts w:ascii="Arial" w:hAnsi="Arial" w:cs="Arial"/>
        </w:rPr>
        <w:t xml:space="preserve">direct knowledge transfer through </w:t>
      </w:r>
      <w:r w:rsidR="00D04BCE">
        <w:rPr>
          <w:rFonts w:ascii="Arial" w:hAnsi="Arial" w:cs="Arial"/>
        </w:rPr>
        <w:t xml:space="preserve">staff </w:t>
      </w:r>
      <w:r w:rsidR="00B84798">
        <w:rPr>
          <w:rFonts w:ascii="Arial" w:hAnsi="Arial" w:cs="Arial"/>
        </w:rPr>
        <w:t>exchanges</w:t>
      </w:r>
      <w:r w:rsidR="007B1F7C">
        <w:rPr>
          <w:rFonts w:ascii="Arial" w:hAnsi="Arial" w:cs="Arial"/>
        </w:rPr>
        <w:t xml:space="preserve">, under </w:t>
      </w:r>
      <w:r w:rsidR="00964D56">
        <w:rPr>
          <w:rFonts w:ascii="Arial" w:hAnsi="Arial" w:cs="Arial"/>
        </w:rPr>
        <w:t xml:space="preserve">the </w:t>
      </w:r>
      <w:r w:rsidR="007B1F7C">
        <w:rPr>
          <w:rFonts w:ascii="Arial" w:hAnsi="Arial" w:cs="Arial"/>
        </w:rPr>
        <w:t>relevant activity (</w:t>
      </w:r>
      <w:r w:rsidR="00964D56">
        <w:rPr>
          <w:rFonts w:ascii="Arial" w:hAnsi="Arial" w:cs="Arial"/>
        </w:rPr>
        <w:t xml:space="preserve">i.e. activity </w:t>
      </w:r>
      <w:r w:rsidR="007B1F7C">
        <w:rPr>
          <w:rFonts w:ascii="Arial" w:hAnsi="Arial" w:cs="Arial"/>
        </w:rPr>
        <w:t xml:space="preserve">2.3 under component 2 </w:t>
      </w:r>
      <w:r w:rsidR="00964D56">
        <w:rPr>
          <w:rFonts w:ascii="Arial" w:hAnsi="Arial" w:cs="Arial"/>
        </w:rPr>
        <w:t>‘</w:t>
      </w:r>
      <w:r w:rsidR="007B1F7C">
        <w:rPr>
          <w:rFonts w:ascii="Arial" w:hAnsi="Arial" w:cs="Arial"/>
        </w:rPr>
        <w:t>Assistance for new CBC programme development and transition between management modes</w:t>
      </w:r>
      <w:r w:rsidR="00964D56">
        <w:rPr>
          <w:rFonts w:ascii="Arial" w:hAnsi="Arial" w:cs="Arial"/>
        </w:rPr>
        <w:t>’</w:t>
      </w:r>
      <w:r w:rsidR="007B1F7C">
        <w:rPr>
          <w:rFonts w:ascii="Arial" w:hAnsi="Arial" w:cs="Arial"/>
        </w:rPr>
        <w:t>)</w:t>
      </w:r>
      <w:r w:rsidR="006A0D14">
        <w:rPr>
          <w:rFonts w:ascii="Arial" w:hAnsi="Arial" w:cs="Arial"/>
        </w:rPr>
        <w:t xml:space="preserve">. </w:t>
      </w:r>
      <w:r w:rsidR="00964D56">
        <w:rPr>
          <w:rFonts w:ascii="Arial" w:hAnsi="Arial" w:cs="Arial"/>
        </w:rPr>
        <w:t xml:space="preserve">This is based </w:t>
      </w:r>
      <w:r w:rsidR="006A0D14">
        <w:rPr>
          <w:rFonts w:ascii="Arial" w:hAnsi="Arial" w:cs="Arial"/>
        </w:rPr>
        <w:t xml:space="preserve">on the experience gained from a pilot exchange organised </w:t>
      </w:r>
      <w:r w:rsidR="008B0DA5">
        <w:rPr>
          <w:rFonts w:ascii="Arial" w:hAnsi="Arial" w:cs="Arial"/>
        </w:rPr>
        <w:t xml:space="preserve">during </w:t>
      </w:r>
      <w:r w:rsidR="00964D56">
        <w:rPr>
          <w:rFonts w:ascii="Arial" w:hAnsi="Arial" w:cs="Arial"/>
        </w:rPr>
        <w:t>CBIB+</w:t>
      </w:r>
      <w:r w:rsidR="006A0D14">
        <w:rPr>
          <w:rFonts w:ascii="Arial" w:hAnsi="Arial" w:cs="Arial"/>
        </w:rPr>
        <w:t xml:space="preserve"> Phase 1 </w:t>
      </w:r>
      <w:r w:rsidR="006A0D14" w:rsidRPr="006A0D14">
        <w:rPr>
          <w:rFonts w:ascii="Arial" w:hAnsi="Arial" w:cs="Arial"/>
          <w:szCs w:val="24"/>
        </w:rPr>
        <w:t>on the process of accreditation for the conferral of management powers under the IPA component II</w:t>
      </w:r>
      <w:r w:rsidR="006A0D14">
        <w:rPr>
          <w:rFonts w:ascii="Arial" w:hAnsi="Arial" w:cs="Arial"/>
          <w:szCs w:val="24"/>
        </w:rPr>
        <w:t xml:space="preserve"> </w:t>
      </w:r>
      <w:r w:rsidRPr="006A0D14">
        <w:rPr>
          <w:rFonts w:ascii="Arial" w:hAnsi="Arial" w:cs="Arial"/>
          <w:szCs w:val="24"/>
        </w:rPr>
        <w:t xml:space="preserve">between the Operating Structures of Serbia and Albania. </w:t>
      </w:r>
    </w:p>
    <w:p w:rsidR="000143A3" w:rsidRDefault="000143A3" w:rsidP="001B3A34">
      <w:pPr>
        <w:spacing w:after="0" w:line="240" w:lineRule="auto"/>
        <w:rPr>
          <w:rFonts w:ascii="Arial" w:hAnsi="Arial" w:cs="Arial"/>
          <w:b/>
          <w:i/>
        </w:rPr>
      </w:pPr>
    </w:p>
    <w:p w:rsidR="00C51C43" w:rsidRPr="00C51C43" w:rsidRDefault="00C51C43" w:rsidP="001B3A34">
      <w:pPr>
        <w:spacing w:after="0" w:line="240" w:lineRule="auto"/>
        <w:rPr>
          <w:rFonts w:ascii="Arial" w:hAnsi="Arial" w:cs="Arial"/>
          <w:b/>
          <w:i/>
        </w:rPr>
      </w:pPr>
      <w:r w:rsidRPr="00C51C43">
        <w:rPr>
          <w:rFonts w:ascii="Arial" w:hAnsi="Arial" w:cs="Arial"/>
          <w:b/>
          <w:i/>
        </w:rPr>
        <w:t>Evaluation activities</w:t>
      </w:r>
    </w:p>
    <w:p w:rsidR="000143A3" w:rsidRDefault="000143A3" w:rsidP="001B3A34">
      <w:pPr>
        <w:spacing w:after="0" w:line="240" w:lineRule="auto"/>
        <w:jc w:val="both"/>
        <w:rPr>
          <w:rFonts w:ascii="Arial" w:hAnsi="Arial" w:cs="Arial"/>
        </w:rPr>
      </w:pPr>
    </w:p>
    <w:p w:rsidR="00C1754E" w:rsidRPr="00866BEF" w:rsidRDefault="00C1754E" w:rsidP="001B3A34">
      <w:pPr>
        <w:spacing w:after="0" w:line="240" w:lineRule="auto"/>
        <w:jc w:val="both"/>
        <w:rPr>
          <w:rFonts w:ascii="Arial" w:hAnsi="Arial" w:cs="Arial"/>
        </w:rPr>
      </w:pPr>
      <w:r w:rsidRPr="00866BEF">
        <w:rPr>
          <w:rFonts w:ascii="Arial" w:hAnsi="Arial" w:cs="Arial"/>
        </w:rPr>
        <w:t xml:space="preserve">The main thrust </w:t>
      </w:r>
      <w:r w:rsidR="00866BEF">
        <w:rPr>
          <w:rFonts w:ascii="Arial" w:hAnsi="Arial" w:cs="Arial"/>
        </w:rPr>
        <w:t>will be on</w:t>
      </w:r>
      <w:r w:rsidRPr="00866BEF">
        <w:rPr>
          <w:rFonts w:ascii="Arial" w:hAnsi="Arial" w:cs="Arial"/>
        </w:rPr>
        <w:t xml:space="preserve"> distil</w:t>
      </w:r>
      <w:r w:rsidR="00866BEF">
        <w:rPr>
          <w:rFonts w:ascii="Arial" w:hAnsi="Arial" w:cs="Arial"/>
        </w:rPr>
        <w:t>ling and disseminating</w:t>
      </w:r>
      <w:r w:rsidRPr="00866BEF">
        <w:rPr>
          <w:rFonts w:ascii="Arial" w:hAnsi="Arial" w:cs="Arial"/>
        </w:rPr>
        <w:t xml:space="preserve"> lessons</w:t>
      </w:r>
      <w:r w:rsidR="00ED198F" w:rsidRPr="00866BEF">
        <w:rPr>
          <w:rFonts w:ascii="Arial" w:hAnsi="Arial" w:cs="Arial"/>
        </w:rPr>
        <w:t xml:space="preserve"> from a growing body of relevant evaluation exercises.</w:t>
      </w:r>
      <w:r w:rsidRPr="00866BEF">
        <w:rPr>
          <w:rFonts w:ascii="Arial" w:hAnsi="Arial" w:cs="Arial"/>
        </w:rPr>
        <w:t xml:space="preserve"> </w:t>
      </w:r>
    </w:p>
    <w:p w:rsidR="000143A3" w:rsidRDefault="000143A3" w:rsidP="001B3A34">
      <w:pPr>
        <w:spacing w:after="0" w:line="240" w:lineRule="auto"/>
        <w:jc w:val="both"/>
        <w:rPr>
          <w:rFonts w:ascii="Arial" w:hAnsi="Arial" w:cs="Arial"/>
        </w:rPr>
      </w:pPr>
    </w:p>
    <w:p w:rsidR="00866BEF" w:rsidRDefault="005A3A4A" w:rsidP="001B3A34">
      <w:pPr>
        <w:spacing w:after="0" w:line="240" w:lineRule="auto"/>
        <w:jc w:val="both"/>
        <w:rPr>
          <w:rFonts w:ascii="Arial" w:eastAsia="Times New Roman" w:hAnsi="Arial" w:cs="Arial"/>
          <w:lang w:eastAsia="en-GB"/>
        </w:rPr>
      </w:pPr>
      <w:r>
        <w:rPr>
          <w:rFonts w:ascii="Arial" w:hAnsi="Arial" w:cs="Arial"/>
        </w:rPr>
        <w:t>E</w:t>
      </w:r>
      <w:r w:rsidR="00C1754E" w:rsidRPr="00866BEF">
        <w:rPr>
          <w:rFonts w:ascii="Arial" w:hAnsi="Arial" w:cs="Arial"/>
        </w:rPr>
        <w:t>valuations</w:t>
      </w:r>
      <w:r>
        <w:rPr>
          <w:rFonts w:ascii="Arial" w:hAnsi="Arial" w:cs="Arial"/>
        </w:rPr>
        <w:t xml:space="preserve"> at WB-level</w:t>
      </w:r>
      <w:r w:rsidR="00C1754E" w:rsidRPr="00866BEF">
        <w:rPr>
          <w:rFonts w:ascii="Arial" w:hAnsi="Arial" w:cs="Arial"/>
        </w:rPr>
        <w:t xml:space="preserve"> will be of central im</w:t>
      </w:r>
      <w:r w:rsidR="000143A3">
        <w:rPr>
          <w:rFonts w:ascii="Arial" w:hAnsi="Arial" w:cs="Arial"/>
        </w:rPr>
        <w:t>portance, especially the overall</w:t>
      </w:r>
      <w:r w:rsidR="00C1754E" w:rsidRPr="00866BEF">
        <w:rPr>
          <w:rFonts w:ascii="Arial" w:hAnsi="Arial" w:cs="Arial"/>
        </w:rPr>
        <w:t xml:space="preserve"> evaluation of </w:t>
      </w:r>
      <w:r w:rsidR="00ED198F" w:rsidRPr="00866BEF">
        <w:rPr>
          <w:rFonts w:ascii="Arial" w:hAnsi="Arial" w:cs="Arial"/>
        </w:rPr>
        <w:t xml:space="preserve">all </w:t>
      </w:r>
      <w:r w:rsidR="000143A3" w:rsidRPr="00866BEF">
        <w:rPr>
          <w:rFonts w:ascii="Arial" w:hAnsi="Arial" w:cs="Arial"/>
        </w:rPr>
        <w:t xml:space="preserve">2017-2013 </w:t>
      </w:r>
      <w:r w:rsidR="00ED198F" w:rsidRPr="00866BEF">
        <w:rPr>
          <w:rFonts w:ascii="Arial" w:hAnsi="Arial" w:cs="Arial"/>
        </w:rPr>
        <w:t xml:space="preserve">IPA CBC </w:t>
      </w:r>
      <w:r w:rsidR="00C1754E" w:rsidRPr="00866BEF">
        <w:rPr>
          <w:rFonts w:ascii="Arial" w:hAnsi="Arial" w:cs="Arial"/>
        </w:rPr>
        <w:t xml:space="preserve">programmes which </w:t>
      </w:r>
      <w:r w:rsidR="00C837C9">
        <w:rPr>
          <w:rFonts w:ascii="Arial" w:hAnsi="Arial" w:cs="Arial"/>
        </w:rPr>
        <w:t>was</w:t>
      </w:r>
      <w:r w:rsidR="00C1754E" w:rsidRPr="00866BEF">
        <w:rPr>
          <w:rFonts w:ascii="Arial" w:hAnsi="Arial" w:cs="Arial"/>
        </w:rPr>
        <w:t xml:space="preserve"> expected to be completed by the end of 2016</w:t>
      </w:r>
      <w:r w:rsidR="00C837C9">
        <w:rPr>
          <w:rFonts w:ascii="Arial" w:hAnsi="Arial" w:cs="Arial"/>
        </w:rPr>
        <w:t xml:space="preserve"> but it last</w:t>
      </w:r>
      <w:r>
        <w:rPr>
          <w:rFonts w:ascii="Arial" w:hAnsi="Arial" w:cs="Arial"/>
        </w:rPr>
        <w:t>ed longer due to the</w:t>
      </w:r>
      <w:r w:rsidR="00C837C9">
        <w:rPr>
          <w:rFonts w:ascii="Arial" w:hAnsi="Arial" w:cs="Arial"/>
        </w:rPr>
        <w:t xml:space="preserve"> replacement of the framework contractor team </w:t>
      </w:r>
      <w:r>
        <w:rPr>
          <w:rFonts w:ascii="Arial" w:hAnsi="Arial" w:cs="Arial"/>
        </w:rPr>
        <w:t xml:space="preserve">in October </w:t>
      </w:r>
      <w:r w:rsidR="00C837C9">
        <w:rPr>
          <w:rFonts w:ascii="Arial" w:hAnsi="Arial" w:cs="Arial"/>
        </w:rPr>
        <w:t>due to their poor performance</w:t>
      </w:r>
      <w:r w:rsidR="00C1754E" w:rsidRPr="00866BEF">
        <w:rPr>
          <w:rFonts w:ascii="Arial" w:hAnsi="Arial" w:cs="Arial"/>
        </w:rPr>
        <w:t xml:space="preserve">. </w:t>
      </w:r>
      <w:r w:rsidR="00ED198F" w:rsidRPr="00866BEF">
        <w:rPr>
          <w:rFonts w:ascii="Arial" w:hAnsi="Arial" w:cs="Arial"/>
        </w:rPr>
        <w:t xml:space="preserve">This overall evaluation </w:t>
      </w:r>
      <w:r w:rsidR="00ED198F" w:rsidRPr="00866BEF">
        <w:rPr>
          <w:rFonts w:ascii="Arial" w:eastAsia="Times New Roman" w:hAnsi="Arial" w:cs="Arial"/>
          <w:lang w:eastAsia="en-GB"/>
        </w:rPr>
        <w:t>cover</w:t>
      </w:r>
      <w:r>
        <w:rPr>
          <w:rFonts w:ascii="Arial" w:eastAsia="Times New Roman" w:hAnsi="Arial" w:cs="Arial"/>
          <w:lang w:eastAsia="en-GB"/>
        </w:rPr>
        <w:t>s</w:t>
      </w:r>
      <w:r w:rsidR="00ED198F" w:rsidRPr="00866BEF">
        <w:rPr>
          <w:rFonts w:ascii="Arial" w:eastAsia="Times New Roman" w:hAnsi="Arial" w:cs="Arial"/>
          <w:lang w:eastAsia="en-GB"/>
        </w:rPr>
        <w:t xml:space="preserve"> achievement against objectives in terms of effectiveness, efficiency, impact sustainability and EU added value.</w:t>
      </w:r>
      <w:r w:rsidR="00866BEF">
        <w:rPr>
          <w:rFonts w:ascii="Arial" w:eastAsia="Times New Roman" w:hAnsi="Arial" w:cs="Arial"/>
          <w:lang w:eastAsia="en-GB"/>
        </w:rPr>
        <w:t xml:space="preserve"> </w:t>
      </w:r>
    </w:p>
    <w:p w:rsidR="000143A3" w:rsidRDefault="000143A3" w:rsidP="001B3A34">
      <w:pPr>
        <w:spacing w:after="0" w:line="240" w:lineRule="auto"/>
        <w:jc w:val="both"/>
        <w:rPr>
          <w:rFonts w:ascii="Arial" w:hAnsi="Arial" w:cs="Arial"/>
        </w:rPr>
      </w:pPr>
    </w:p>
    <w:p w:rsidR="00E254FB" w:rsidRDefault="00C1754E" w:rsidP="001B3A34">
      <w:pPr>
        <w:spacing w:after="0" w:line="240" w:lineRule="auto"/>
        <w:jc w:val="both"/>
        <w:rPr>
          <w:rFonts w:ascii="Arial" w:hAnsi="Arial" w:cs="Arial"/>
        </w:rPr>
      </w:pPr>
      <w:r w:rsidRPr="00866BEF">
        <w:rPr>
          <w:rFonts w:ascii="Arial" w:hAnsi="Arial" w:cs="Arial"/>
        </w:rPr>
        <w:t>The</w:t>
      </w:r>
      <w:r w:rsidR="004C371D">
        <w:rPr>
          <w:rFonts w:ascii="Arial" w:hAnsi="Arial" w:cs="Arial"/>
        </w:rPr>
        <w:t xml:space="preserve"> main</w:t>
      </w:r>
      <w:r w:rsidR="004C371D" w:rsidRPr="00AF497F">
        <w:rPr>
          <w:rStyle w:val="FootnoteReference"/>
          <w:rFonts w:ascii="Arial" w:hAnsi="Arial" w:cs="Arial"/>
        </w:rPr>
        <w:footnoteReference w:id="9"/>
      </w:r>
      <w:r w:rsidRPr="00866BEF">
        <w:rPr>
          <w:rFonts w:ascii="Arial" w:hAnsi="Arial" w:cs="Arial"/>
        </w:rPr>
        <w:t xml:space="preserve"> previous WB-wide exercise covering all </w:t>
      </w:r>
      <w:r w:rsidR="00ED198F" w:rsidRPr="00866BEF">
        <w:rPr>
          <w:rFonts w:ascii="Arial" w:hAnsi="Arial" w:cs="Arial"/>
        </w:rPr>
        <w:t xml:space="preserve">IPA </w:t>
      </w:r>
      <w:r w:rsidRPr="00866BEF">
        <w:rPr>
          <w:rFonts w:ascii="Arial" w:hAnsi="Arial" w:cs="Arial"/>
        </w:rPr>
        <w:t>CB</w:t>
      </w:r>
      <w:r w:rsidR="00ED198F" w:rsidRPr="00866BEF">
        <w:rPr>
          <w:rFonts w:ascii="Arial" w:hAnsi="Arial" w:cs="Arial"/>
        </w:rPr>
        <w:t>C</w:t>
      </w:r>
      <w:r w:rsidRPr="00866BEF">
        <w:rPr>
          <w:rFonts w:ascii="Arial" w:hAnsi="Arial" w:cs="Arial"/>
        </w:rPr>
        <w:t xml:space="preserve"> programmes was </w:t>
      </w:r>
      <w:r w:rsidR="00ED198F" w:rsidRPr="00866BEF">
        <w:rPr>
          <w:rFonts w:ascii="Arial" w:eastAsia="Times New Roman" w:hAnsi="Arial" w:cs="Arial"/>
          <w:lang w:eastAsia="en-GB"/>
        </w:rPr>
        <w:t xml:space="preserve">carried out in 2010-2011 and was of an interim nature </w:t>
      </w:r>
      <w:r w:rsidR="00866BEF" w:rsidRPr="00866BEF">
        <w:rPr>
          <w:rFonts w:ascii="Arial" w:eastAsia="Times New Roman" w:hAnsi="Arial" w:cs="Arial"/>
          <w:lang w:eastAsia="en-GB"/>
        </w:rPr>
        <w:t xml:space="preserve">addressing </w:t>
      </w:r>
      <w:r w:rsidR="00ED198F" w:rsidRPr="00866BEF">
        <w:rPr>
          <w:rFonts w:ascii="Arial" w:eastAsia="Times New Roman" w:hAnsi="Arial" w:cs="Arial"/>
          <w:lang w:eastAsia="en-GB"/>
        </w:rPr>
        <w:t xml:space="preserve">two particular aspects: ‘governance structures’ and ‘performance of the assistance’. </w:t>
      </w:r>
      <w:r w:rsidR="00ED198F" w:rsidRPr="00866BEF">
        <w:rPr>
          <w:rFonts w:ascii="Arial" w:hAnsi="Arial" w:cs="Arial"/>
        </w:rPr>
        <w:t xml:space="preserve">However, there have been some more </w:t>
      </w:r>
      <w:r w:rsidR="00866BEF" w:rsidRPr="00866BEF">
        <w:rPr>
          <w:rFonts w:ascii="Arial" w:hAnsi="Arial" w:cs="Arial"/>
        </w:rPr>
        <w:t>specific evaluations</w:t>
      </w:r>
      <w:r w:rsidR="00B84798">
        <w:rPr>
          <w:rFonts w:ascii="Arial" w:hAnsi="Arial" w:cs="Arial"/>
        </w:rPr>
        <w:t xml:space="preserve"> recently</w:t>
      </w:r>
      <w:r w:rsidR="00866BEF" w:rsidRPr="00866BEF">
        <w:rPr>
          <w:rFonts w:ascii="Arial" w:hAnsi="Arial" w:cs="Arial"/>
        </w:rPr>
        <w:t xml:space="preserve">, such as the one </w:t>
      </w:r>
      <w:r w:rsidR="00086343" w:rsidRPr="00866BEF">
        <w:rPr>
          <w:rFonts w:ascii="Arial" w:hAnsi="Arial" w:cs="Arial"/>
        </w:rPr>
        <w:t>undertak</w:t>
      </w:r>
      <w:r w:rsidR="00866BEF" w:rsidRPr="00866BEF">
        <w:rPr>
          <w:rFonts w:ascii="Arial" w:hAnsi="Arial" w:cs="Arial"/>
        </w:rPr>
        <w:t>en</w:t>
      </w:r>
      <w:r w:rsidR="00086343" w:rsidRPr="00866BEF">
        <w:rPr>
          <w:rFonts w:ascii="Arial" w:hAnsi="Arial" w:cs="Arial"/>
        </w:rPr>
        <w:t xml:space="preserve"> </w:t>
      </w:r>
      <w:r w:rsidR="00866BEF" w:rsidRPr="00866BEF">
        <w:rPr>
          <w:rFonts w:ascii="Arial" w:hAnsi="Arial" w:cs="Arial"/>
        </w:rPr>
        <w:t xml:space="preserve">under </w:t>
      </w:r>
      <w:r w:rsidR="00086343" w:rsidRPr="00866BEF">
        <w:rPr>
          <w:rFonts w:ascii="Arial" w:hAnsi="Arial" w:cs="Arial"/>
        </w:rPr>
        <w:t>LOT 11 FWC “Technical Assistance for Evaluation and Assessment of the effectiveness of the Cross Border and Transnational Co-operation Programmes (IPA Component II) on the territory of Serbia, implemented and financed by IPA Programmes in Serbia”.</w:t>
      </w:r>
      <w:r w:rsidR="00E254FB">
        <w:rPr>
          <w:rFonts w:ascii="Arial" w:hAnsi="Arial" w:cs="Arial"/>
        </w:rPr>
        <w:t xml:space="preserve"> </w:t>
      </w:r>
    </w:p>
    <w:p w:rsidR="000143A3" w:rsidRDefault="000143A3" w:rsidP="001B3A34">
      <w:pPr>
        <w:spacing w:after="0" w:line="240" w:lineRule="auto"/>
        <w:jc w:val="both"/>
        <w:rPr>
          <w:rFonts w:ascii="Arial" w:hAnsi="Arial" w:cs="Arial"/>
        </w:rPr>
      </w:pPr>
    </w:p>
    <w:p w:rsidR="00BC2CFC" w:rsidRPr="000143A3" w:rsidRDefault="00DF3466" w:rsidP="000143A3">
      <w:pPr>
        <w:spacing w:after="0" w:line="240" w:lineRule="auto"/>
        <w:jc w:val="both"/>
        <w:rPr>
          <w:rFonts w:ascii="Arial" w:hAnsi="Arial" w:cs="Arial"/>
        </w:rPr>
      </w:pPr>
      <w:r w:rsidRPr="00866BEF">
        <w:rPr>
          <w:rFonts w:ascii="Arial" w:hAnsi="Arial" w:cs="Arial"/>
        </w:rPr>
        <w:t xml:space="preserve">There could also be </w:t>
      </w:r>
      <w:r w:rsidR="00ED198F" w:rsidRPr="00866BEF">
        <w:rPr>
          <w:rFonts w:ascii="Arial" w:hAnsi="Arial" w:cs="Arial"/>
        </w:rPr>
        <w:t xml:space="preserve">valuable points to be drawn </w:t>
      </w:r>
      <w:r w:rsidR="00866BEF">
        <w:rPr>
          <w:rFonts w:ascii="Arial" w:hAnsi="Arial" w:cs="Arial"/>
        </w:rPr>
        <w:t xml:space="preserve">from </w:t>
      </w:r>
      <w:r w:rsidR="00ED198F" w:rsidRPr="00866BEF">
        <w:rPr>
          <w:rFonts w:ascii="Arial" w:hAnsi="Arial" w:cs="Arial"/>
        </w:rPr>
        <w:t xml:space="preserve">other </w:t>
      </w:r>
      <w:r w:rsidR="00414D05" w:rsidRPr="00866BEF">
        <w:rPr>
          <w:rFonts w:ascii="Arial" w:hAnsi="Arial" w:cs="Arial"/>
        </w:rPr>
        <w:t>evaluation experiences</w:t>
      </w:r>
      <w:r w:rsidR="00866BEF">
        <w:rPr>
          <w:rFonts w:ascii="Arial" w:hAnsi="Arial" w:cs="Arial"/>
        </w:rPr>
        <w:t xml:space="preserve">, such as </w:t>
      </w:r>
      <w:r w:rsidR="00414D05" w:rsidRPr="00866BEF">
        <w:rPr>
          <w:rFonts w:ascii="Arial" w:hAnsi="Arial" w:cs="Arial"/>
        </w:rPr>
        <w:t>the</w:t>
      </w:r>
      <w:r w:rsidR="00866BEF">
        <w:rPr>
          <w:rFonts w:ascii="Arial" w:hAnsi="Arial" w:cs="Arial"/>
        </w:rPr>
        <w:t xml:space="preserve"> ex-post evaluation of the SEE P</w:t>
      </w:r>
      <w:r w:rsidR="00414D05" w:rsidRPr="00866BEF">
        <w:rPr>
          <w:rFonts w:ascii="Arial" w:hAnsi="Arial" w:cs="Arial"/>
        </w:rPr>
        <w:t>rogramme</w:t>
      </w:r>
      <w:r w:rsidR="00414D05" w:rsidRPr="00AF497F">
        <w:rPr>
          <w:rStyle w:val="FootnoteReference"/>
          <w:rFonts w:ascii="Arial" w:hAnsi="Arial" w:cs="Arial"/>
          <w:sz w:val="18"/>
        </w:rPr>
        <w:footnoteReference w:id="10"/>
      </w:r>
      <w:r w:rsidR="00ED198F" w:rsidRPr="00866BEF">
        <w:rPr>
          <w:rFonts w:ascii="Arial" w:hAnsi="Arial" w:cs="Arial"/>
        </w:rPr>
        <w:t xml:space="preserve"> which covered the </w:t>
      </w:r>
      <w:r w:rsidR="00481540">
        <w:rPr>
          <w:rFonts w:ascii="Arial" w:hAnsi="Arial" w:cs="Arial"/>
        </w:rPr>
        <w:t>WB</w:t>
      </w:r>
      <w:r w:rsidR="00ED198F" w:rsidRPr="00866BEF">
        <w:rPr>
          <w:rFonts w:ascii="Arial" w:hAnsi="Arial" w:cs="Arial"/>
        </w:rPr>
        <w:t>, or broader ones, notably, the recently completed ex-post evaluation</w:t>
      </w:r>
      <w:r w:rsidRPr="00866BEF">
        <w:rPr>
          <w:rFonts w:ascii="Arial" w:hAnsi="Arial" w:cs="Arial"/>
        </w:rPr>
        <w:t xml:space="preserve"> </w:t>
      </w:r>
      <w:r w:rsidR="00ED198F" w:rsidRPr="00866BEF">
        <w:rPr>
          <w:rFonts w:ascii="Arial" w:hAnsi="Arial" w:cs="Arial"/>
        </w:rPr>
        <w:t xml:space="preserve">at EU level </w:t>
      </w:r>
      <w:r w:rsidRPr="00866BEF">
        <w:rPr>
          <w:rFonts w:ascii="Arial" w:hAnsi="Arial" w:cs="Arial"/>
        </w:rPr>
        <w:t xml:space="preserve">of </w:t>
      </w:r>
      <w:r w:rsidR="00ED198F" w:rsidRPr="00866BEF">
        <w:rPr>
          <w:rFonts w:ascii="Arial" w:hAnsi="Arial" w:cs="Arial"/>
        </w:rPr>
        <w:t xml:space="preserve">all </w:t>
      </w:r>
      <w:r w:rsidR="000143A3">
        <w:rPr>
          <w:rFonts w:ascii="Arial" w:hAnsi="Arial" w:cs="Arial"/>
        </w:rPr>
        <w:t>2007-2013</w:t>
      </w:r>
      <w:r w:rsidR="000143A3" w:rsidRPr="00866BEF">
        <w:rPr>
          <w:rFonts w:ascii="Arial" w:hAnsi="Arial" w:cs="Arial"/>
        </w:rPr>
        <w:t xml:space="preserve"> </w:t>
      </w:r>
      <w:r w:rsidRPr="00866BEF">
        <w:rPr>
          <w:rFonts w:ascii="Arial" w:hAnsi="Arial" w:cs="Arial"/>
        </w:rPr>
        <w:t>ETC</w:t>
      </w:r>
      <w:r w:rsidR="00ED198F" w:rsidRPr="00866BEF">
        <w:rPr>
          <w:rFonts w:ascii="Arial" w:hAnsi="Arial" w:cs="Arial"/>
        </w:rPr>
        <w:t xml:space="preserve"> programmes</w:t>
      </w:r>
      <w:r w:rsidR="00B84798">
        <w:rPr>
          <w:rFonts w:ascii="Arial" w:hAnsi="Arial" w:cs="Arial"/>
        </w:rPr>
        <w:t xml:space="preserve"> </w:t>
      </w:r>
      <w:r w:rsidR="00ED198F" w:rsidRPr="00866BEF">
        <w:rPr>
          <w:rFonts w:ascii="Arial" w:hAnsi="Arial" w:cs="Arial"/>
        </w:rPr>
        <w:t xml:space="preserve">and the ex-post evaluations of some individual ETC programmes. </w:t>
      </w:r>
    </w:p>
    <w:p w:rsidR="00BC2CFC" w:rsidRDefault="00BC2CFC" w:rsidP="001B3A34">
      <w:pPr>
        <w:spacing w:after="0" w:line="240" w:lineRule="auto"/>
        <w:rPr>
          <w:rFonts w:ascii="Arial" w:hAnsi="Arial" w:cs="Arial"/>
          <w:b/>
          <w:i/>
        </w:rPr>
      </w:pPr>
    </w:p>
    <w:p w:rsidR="00C51C43" w:rsidRPr="00C51C43" w:rsidRDefault="00C51C43" w:rsidP="001B3A34">
      <w:pPr>
        <w:spacing w:after="0" w:line="240" w:lineRule="auto"/>
        <w:rPr>
          <w:rFonts w:ascii="Arial" w:hAnsi="Arial" w:cs="Arial"/>
          <w:b/>
          <w:i/>
        </w:rPr>
      </w:pPr>
      <w:r w:rsidRPr="00C51C43">
        <w:rPr>
          <w:rFonts w:ascii="Arial" w:hAnsi="Arial" w:cs="Arial"/>
          <w:b/>
          <w:i/>
        </w:rPr>
        <w:t xml:space="preserve">Surveys of </w:t>
      </w:r>
      <w:r w:rsidR="00D549BC">
        <w:rPr>
          <w:rFonts w:ascii="Arial" w:hAnsi="Arial" w:cs="Arial"/>
          <w:b/>
          <w:i/>
        </w:rPr>
        <w:t xml:space="preserve">grant </w:t>
      </w:r>
      <w:r w:rsidRPr="00C51C43">
        <w:rPr>
          <w:rFonts w:ascii="Arial" w:hAnsi="Arial" w:cs="Arial"/>
          <w:b/>
          <w:i/>
        </w:rPr>
        <w:t>beneficiaries</w:t>
      </w:r>
    </w:p>
    <w:p w:rsidR="000143A3" w:rsidRDefault="000143A3" w:rsidP="001B3A34">
      <w:pPr>
        <w:spacing w:after="0" w:line="240" w:lineRule="auto"/>
        <w:jc w:val="both"/>
        <w:rPr>
          <w:rFonts w:ascii="Arial" w:hAnsi="Arial" w:cs="Arial"/>
        </w:rPr>
      </w:pPr>
    </w:p>
    <w:p w:rsidR="00F93682" w:rsidRPr="00E96400" w:rsidRDefault="004D0E30" w:rsidP="001B3A34">
      <w:pPr>
        <w:spacing w:after="0" w:line="240" w:lineRule="auto"/>
        <w:jc w:val="both"/>
        <w:rPr>
          <w:rFonts w:ascii="Arial" w:hAnsi="Arial" w:cs="Arial"/>
        </w:rPr>
      </w:pPr>
      <w:r w:rsidRPr="00E96400">
        <w:rPr>
          <w:rFonts w:ascii="Arial" w:hAnsi="Arial" w:cs="Arial"/>
        </w:rPr>
        <w:t xml:space="preserve">CBIB+ supported actively in Phase 1 the use of such surveys. One of the surveys </w:t>
      </w:r>
      <w:r w:rsidR="00F93682" w:rsidRPr="00E96400">
        <w:rPr>
          <w:rFonts w:ascii="Arial" w:hAnsi="Arial" w:cs="Arial"/>
        </w:rPr>
        <w:t>concerned t</w:t>
      </w:r>
      <w:r w:rsidRPr="00E96400">
        <w:rPr>
          <w:rFonts w:ascii="Arial" w:hAnsi="Arial" w:cs="Arial"/>
        </w:rPr>
        <w:t>he Cross-Border Programme Serbia – Montenegro</w:t>
      </w:r>
      <w:r w:rsidR="003E44BF" w:rsidRPr="00E96400">
        <w:rPr>
          <w:rStyle w:val="FootnoteReference"/>
          <w:rFonts w:ascii="Arial" w:hAnsi="Arial" w:cs="Arial"/>
          <w:sz w:val="18"/>
        </w:rPr>
        <w:footnoteReference w:id="11"/>
      </w:r>
      <w:r w:rsidR="00F93682" w:rsidRPr="00E96400">
        <w:rPr>
          <w:rFonts w:ascii="Arial" w:hAnsi="Arial" w:cs="Arial"/>
        </w:rPr>
        <w:t>. The questionnaire covered project and programme indicators, efficiency, effectiveness, sustainability and impact.</w:t>
      </w:r>
    </w:p>
    <w:p w:rsidR="00B432B7" w:rsidRDefault="00B432B7" w:rsidP="001B3A34">
      <w:pPr>
        <w:spacing w:after="0" w:line="240" w:lineRule="auto"/>
        <w:jc w:val="both"/>
        <w:rPr>
          <w:rFonts w:ascii="Arial" w:hAnsi="Arial" w:cs="Arial"/>
        </w:rPr>
      </w:pPr>
    </w:p>
    <w:p w:rsidR="00F93682" w:rsidRPr="00E96400" w:rsidRDefault="00F93682" w:rsidP="001B3A34">
      <w:pPr>
        <w:spacing w:after="0" w:line="240" w:lineRule="auto"/>
        <w:jc w:val="both"/>
        <w:rPr>
          <w:rFonts w:ascii="Arial" w:hAnsi="Arial" w:cs="Arial"/>
        </w:rPr>
      </w:pPr>
      <w:r w:rsidRPr="00E96400">
        <w:rPr>
          <w:rFonts w:ascii="Arial" w:hAnsi="Arial" w:cs="Arial"/>
        </w:rPr>
        <w:t>I</w:t>
      </w:r>
      <w:r w:rsidR="004D0E30" w:rsidRPr="00E96400">
        <w:rPr>
          <w:rFonts w:ascii="Arial" w:hAnsi="Arial" w:cs="Arial"/>
        </w:rPr>
        <w:t xml:space="preserve">n the case of </w:t>
      </w:r>
      <w:r w:rsidR="00D03FDF" w:rsidRPr="00E96400">
        <w:rPr>
          <w:rFonts w:ascii="Arial" w:hAnsi="Arial" w:cs="Arial"/>
        </w:rPr>
        <w:t xml:space="preserve">the </w:t>
      </w:r>
      <w:r w:rsidR="001400A8">
        <w:rPr>
          <w:rFonts w:ascii="Arial" w:hAnsi="Arial" w:cs="Arial"/>
        </w:rPr>
        <w:t>CBC</w:t>
      </w:r>
      <w:r w:rsidR="003E44BF" w:rsidRPr="00E96400">
        <w:rPr>
          <w:rFonts w:ascii="Arial" w:hAnsi="Arial" w:cs="Arial"/>
        </w:rPr>
        <w:t xml:space="preserve"> Programme </w:t>
      </w:r>
      <w:r w:rsidR="00120A9A">
        <w:rPr>
          <w:rFonts w:ascii="Arial" w:hAnsi="Arial" w:cs="Arial"/>
        </w:rPr>
        <w:t xml:space="preserve">the </w:t>
      </w:r>
      <w:r w:rsidR="003E44BF" w:rsidRPr="00E96400">
        <w:rPr>
          <w:rFonts w:ascii="Arial" w:hAnsi="Arial" w:cs="Arial"/>
        </w:rPr>
        <w:t xml:space="preserve">former Yugoslav Republic of Macedonia – Albania two surveys </w:t>
      </w:r>
      <w:r w:rsidRPr="00E96400">
        <w:rPr>
          <w:rFonts w:ascii="Arial" w:hAnsi="Arial" w:cs="Arial"/>
        </w:rPr>
        <w:t>w</w:t>
      </w:r>
      <w:r w:rsidR="003E44BF" w:rsidRPr="00E96400">
        <w:rPr>
          <w:rFonts w:ascii="Arial" w:hAnsi="Arial" w:cs="Arial"/>
        </w:rPr>
        <w:t>ere carried out in conjunction with two programme events held in Tirana and Struga</w:t>
      </w:r>
      <w:r w:rsidR="003E44BF" w:rsidRPr="00E96400">
        <w:rPr>
          <w:rStyle w:val="FootnoteReference"/>
          <w:rFonts w:ascii="Arial" w:hAnsi="Arial" w:cs="Arial"/>
          <w:sz w:val="18"/>
        </w:rPr>
        <w:footnoteReference w:id="12"/>
      </w:r>
      <w:r w:rsidR="003E44BF" w:rsidRPr="00E96400">
        <w:rPr>
          <w:rFonts w:ascii="Arial" w:hAnsi="Arial" w:cs="Arial"/>
        </w:rPr>
        <w:t xml:space="preserve">. </w:t>
      </w:r>
      <w:r w:rsidRPr="00E96400">
        <w:rPr>
          <w:rFonts w:ascii="Arial" w:hAnsi="Arial" w:cs="Arial"/>
        </w:rPr>
        <w:t xml:space="preserve">One questionnaire covered procedural and managerial aspects of grant application, project implementation and related challenges and lessons. The other questionnaire </w:t>
      </w:r>
      <w:r w:rsidR="00D03FDF" w:rsidRPr="00E96400">
        <w:rPr>
          <w:rFonts w:ascii="Arial" w:hAnsi="Arial" w:cs="Arial"/>
        </w:rPr>
        <w:t xml:space="preserve">focused mainly on </w:t>
      </w:r>
      <w:r w:rsidRPr="00E96400">
        <w:rPr>
          <w:rFonts w:ascii="Arial" w:hAnsi="Arial" w:cs="Arial"/>
        </w:rPr>
        <w:t xml:space="preserve">substantive matters, such as the change in tourism related economic development or change in environmental development addressed by the projects, impact on target groups, as well as </w:t>
      </w:r>
      <w:r w:rsidR="00E96400" w:rsidRPr="00E96400">
        <w:rPr>
          <w:rFonts w:ascii="Arial" w:hAnsi="Arial" w:cs="Arial"/>
        </w:rPr>
        <w:t>models of good practice</w:t>
      </w:r>
      <w:r w:rsidRPr="00E96400">
        <w:rPr>
          <w:rFonts w:ascii="Arial" w:hAnsi="Arial" w:cs="Arial"/>
        </w:rPr>
        <w:t xml:space="preserve"> and</w:t>
      </w:r>
      <w:r w:rsidR="00E96400" w:rsidRPr="00E96400">
        <w:rPr>
          <w:rFonts w:ascii="Arial" w:hAnsi="Arial" w:cs="Arial"/>
        </w:rPr>
        <w:t xml:space="preserve"> sustainability</w:t>
      </w:r>
      <w:r w:rsidRPr="00E96400">
        <w:rPr>
          <w:rFonts w:ascii="Arial" w:hAnsi="Arial" w:cs="Arial"/>
        </w:rPr>
        <w:t>.</w:t>
      </w:r>
    </w:p>
    <w:p w:rsidR="00B432B7" w:rsidRDefault="00B432B7" w:rsidP="001B3A34">
      <w:pPr>
        <w:spacing w:after="0" w:line="240" w:lineRule="auto"/>
        <w:jc w:val="both"/>
        <w:rPr>
          <w:rFonts w:ascii="Arial" w:hAnsi="Arial" w:cs="Arial"/>
        </w:rPr>
      </w:pPr>
    </w:p>
    <w:p w:rsidR="00ED198F" w:rsidRDefault="003E44BF" w:rsidP="001B3A34">
      <w:pPr>
        <w:spacing w:after="0" w:line="240" w:lineRule="auto"/>
        <w:jc w:val="both"/>
        <w:rPr>
          <w:rFonts w:ascii="Arial" w:hAnsi="Arial" w:cs="Arial"/>
        </w:rPr>
      </w:pPr>
      <w:r w:rsidRPr="00E96400">
        <w:rPr>
          <w:rFonts w:ascii="Arial" w:hAnsi="Arial" w:cs="Arial"/>
        </w:rPr>
        <w:t xml:space="preserve">The conclusions drawn from these surveys suggested that they should be replicated under </w:t>
      </w:r>
      <w:r w:rsidR="00984A1A">
        <w:rPr>
          <w:rFonts w:ascii="Arial" w:hAnsi="Arial" w:cs="Arial"/>
        </w:rPr>
        <w:t xml:space="preserve">as many as possible of the </w:t>
      </w:r>
      <w:r w:rsidRPr="00E96400">
        <w:rPr>
          <w:rFonts w:ascii="Arial" w:hAnsi="Arial" w:cs="Arial"/>
        </w:rPr>
        <w:t>IPA II CBC programmes.</w:t>
      </w:r>
      <w:r w:rsidR="00F93682" w:rsidRPr="00E96400">
        <w:rPr>
          <w:rFonts w:ascii="Arial" w:hAnsi="Arial" w:cs="Arial"/>
        </w:rPr>
        <w:t xml:space="preserve"> </w:t>
      </w:r>
      <w:r w:rsidRPr="00E96400">
        <w:rPr>
          <w:rFonts w:ascii="Arial" w:hAnsi="Arial" w:cs="Arial"/>
        </w:rPr>
        <w:t>Accordingly, the CBIB+2 team will aim to help all O</w:t>
      </w:r>
      <w:r w:rsidR="00D763A6">
        <w:rPr>
          <w:rFonts w:ascii="Arial" w:hAnsi="Arial" w:cs="Arial"/>
        </w:rPr>
        <w:t>Ss</w:t>
      </w:r>
      <w:r w:rsidRPr="00E96400">
        <w:rPr>
          <w:rFonts w:ascii="Arial" w:hAnsi="Arial" w:cs="Arial"/>
        </w:rPr>
        <w:t xml:space="preserve"> to conduct surveys of project beneficiaries by offering appropriate model questionnaire(s), advising on how to customis</w:t>
      </w:r>
      <w:r w:rsidR="00E96400" w:rsidRPr="00E96400">
        <w:rPr>
          <w:rFonts w:ascii="Arial" w:hAnsi="Arial" w:cs="Arial"/>
        </w:rPr>
        <w:t>e</w:t>
      </w:r>
      <w:r w:rsidRPr="00E96400">
        <w:rPr>
          <w:rFonts w:ascii="Arial" w:hAnsi="Arial" w:cs="Arial"/>
        </w:rPr>
        <w:t xml:space="preserve"> them and on how to analyse the results obtained.</w:t>
      </w:r>
      <w:r w:rsidR="00D763A6">
        <w:rPr>
          <w:rFonts w:ascii="Arial" w:hAnsi="Arial" w:cs="Arial"/>
        </w:rPr>
        <w:t xml:space="preserve"> During September-October 2016, the CBIB+2 team sought the opinion of the relevant OSs on tailor-made questionnaires for every 2007-2013 CBC programme, encompassing grant beneficiaries and unsuccessful applicants. For different reasons, the only programme, where </w:t>
      </w:r>
      <w:r w:rsidR="00F0684D">
        <w:rPr>
          <w:rFonts w:ascii="Arial" w:hAnsi="Arial" w:cs="Arial"/>
        </w:rPr>
        <w:t xml:space="preserve">CBIB+2 have received assurances that </w:t>
      </w:r>
      <w:r w:rsidR="00D763A6">
        <w:rPr>
          <w:rFonts w:ascii="Arial" w:hAnsi="Arial" w:cs="Arial"/>
        </w:rPr>
        <w:t xml:space="preserve">these questionnaires reached the respondents, has been the one between the former Yugoslav Republic of Macedonia and Albania. </w:t>
      </w:r>
      <w:r w:rsidR="00C837C9">
        <w:rPr>
          <w:rFonts w:ascii="Arial" w:hAnsi="Arial" w:cs="Arial"/>
        </w:rPr>
        <w:t>The table below illustrates the state of play with these questionnaires in October 2016:</w:t>
      </w:r>
    </w:p>
    <w:p w:rsidR="00C837C9" w:rsidRDefault="00C837C9" w:rsidP="001B3A34">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1384"/>
        <w:gridCol w:w="2619"/>
        <w:gridCol w:w="2619"/>
        <w:gridCol w:w="2620"/>
      </w:tblGrid>
      <w:tr w:rsidR="00F0684D" w:rsidRPr="00EA6B4B" w:rsidTr="0047614B">
        <w:tc>
          <w:tcPr>
            <w:tcW w:w="1384" w:type="dxa"/>
            <w:shd w:val="clear" w:color="auto" w:fill="FF0000"/>
          </w:tcPr>
          <w:p w:rsidR="00F0684D" w:rsidRPr="0047614B" w:rsidRDefault="00F0684D" w:rsidP="0047614B">
            <w:pPr>
              <w:jc w:val="center"/>
              <w:rPr>
                <w:rFonts w:ascii="Arial Narrow" w:hAnsi="Arial Narrow" w:cs="Arial"/>
                <w:b/>
                <w:color w:val="FDE9D9" w:themeColor="accent6" w:themeTint="33"/>
                <w:lang w:val="en-US"/>
              </w:rPr>
            </w:pPr>
            <w:r w:rsidRPr="0047614B">
              <w:rPr>
                <w:rFonts w:ascii="Arial Narrow" w:hAnsi="Arial Narrow" w:cs="Arial"/>
                <w:b/>
                <w:color w:val="FDE9D9" w:themeColor="accent6" w:themeTint="33"/>
                <w:lang w:val="en-US"/>
              </w:rPr>
              <w:t>IPA CBC programme</w:t>
            </w:r>
          </w:p>
        </w:tc>
        <w:tc>
          <w:tcPr>
            <w:tcW w:w="2619" w:type="dxa"/>
            <w:shd w:val="clear" w:color="auto" w:fill="FF0000"/>
          </w:tcPr>
          <w:p w:rsidR="00F0684D" w:rsidRPr="0047614B" w:rsidRDefault="00F0684D" w:rsidP="0047614B">
            <w:pPr>
              <w:jc w:val="center"/>
              <w:rPr>
                <w:rFonts w:ascii="Arial Narrow" w:hAnsi="Arial Narrow" w:cs="Arial"/>
                <w:b/>
                <w:color w:val="FDE9D9" w:themeColor="accent6" w:themeTint="33"/>
                <w:lang w:val="en-US"/>
              </w:rPr>
            </w:pPr>
            <w:r w:rsidRPr="0047614B">
              <w:rPr>
                <w:rFonts w:ascii="Arial Narrow" w:hAnsi="Arial Narrow" w:cs="Arial"/>
                <w:b/>
                <w:color w:val="FDE9D9" w:themeColor="accent6" w:themeTint="33"/>
                <w:lang w:val="en-US"/>
              </w:rPr>
              <w:t>Background</w:t>
            </w:r>
          </w:p>
        </w:tc>
        <w:tc>
          <w:tcPr>
            <w:tcW w:w="2619" w:type="dxa"/>
            <w:shd w:val="clear" w:color="auto" w:fill="FF0000"/>
          </w:tcPr>
          <w:p w:rsidR="00F0684D" w:rsidRPr="0047614B" w:rsidRDefault="00F0684D" w:rsidP="0047614B">
            <w:pPr>
              <w:jc w:val="center"/>
              <w:rPr>
                <w:rFonts w:ascii="Arial Narrow" w:hAnsi="Arial Narrow" w:cs="Arial"/>
                <w:b/>
                <w:color w:val="FDE9D9" w:themeColor="accent6" w:themeTint="33"/>
                <w:lang w:val="en-US"/>
              </w:rPr>
            </w:pPr>
            <w:r w:rsidRPr="0047614B">
              <w:rPr>
                <w:rFonts w:ascii="Arial Narrow" w:hAnsi="Arial Narrow" w:cs="Arial"/>
                <w:b/>
                <w:color w:val="FDE9D9" w:themeColor="accent6" w:themeTint="33"/>
                <w:lang w:val="en-US"/>
              </w:rPr>
              <w:t>Status</w:t>
            </w:r>
          </w:p>
        </w:tc>
        <w:tc>
          <w:tcPr>
            <w:tcW w:w="2620" w:type="dxa"/>
            <w:shd w:val="clear" w:color="auto" w:fill="FF0000"/>
          </w:tcPr>
          <w:p w:rsidR="00F0684D" w:rsidRPr="0047614B" w:rsidRDefault="00F0684D" w:rsidP="0047614B">
            <w:pPr>
              <w:jc w:val="center"/>
              <w:rPr>
                <w:rFonts w:ascii="Arial Narrow" w:hAnsi="Arial Narrow" w:cs="Arial"/>
                <w:b/>
                <w:color w:val="FDE9D9" w:themeColor="accent6" w:themeTint="33"/>
                <w:lang w:val="en-US"/>
              </w:rPr>
            </w:pPr>
            <w:r w:rsidRPr="0047614B">
              <w:rPr>
                <w:rFonts w:ascii="Arial Narrow" w:hAnsi="Arial Narrow" w:cs="Arial"/>
                <w:b/>
                <w:color w:val="FDE9D9" w:themeColor="accent6" w:themeTint="33"/>
                <w:lang w:val="en-US"/>
              </w:rPr>
              <w:t>Comment</w:t>
            </w:r>
          </w:p>
        </w:tc>
      </w:tr>
      <w:tr w:rsidR="00F0684D" w:rsidRPr="00EA6B4B" w:rsidTr="0047614B">
        <w:tc>
          <w:tcPr>
            <w:tcW w:w="1384" w:type="dxa"/>
            <w:shd w:val="clear" w:color="auto" w:fill="F2F2F2" w:themeFill="background1" w:themeFillShade="F2"/>
          </w:tcPr>
          <w:p w:rsidR="00F0684D" w:rsidRPr="0047614B" w:rsidRDefault="00F0684D" w:rsidP="00983EB4">
            <w:pPr>
              <w:rPr>
                <w:rFonts w:ascii="Arial Narrow" w:hAnsi="Arial Narrow" w:cs="Arial"/>
                <w:b/>
                <w:sz w:val="20"/>
                <w:szCs w:val="20"/>
                <w:lang w:val="en-US"/>
              </w:rPr>
            </w:pPr>
            <w:r w:rsidRPr="0047614B">
              <w:rPr>
                <w:rFonts w:ascii="Arial Narrow" w:hAnsi="Arial Narrow" w:cs="Arial"/>
                <w:b/>
                <w:sz w:val="20"/>
                <w:szCs w:val="20"/>
                <w:lang w:val="en-US"/>
              </w:rPr>
              <w:t>RS-ME</w:t>
            </w:r>
          </w:p>
        </w:tc>
        <w:tc>
          <w:tcPr>
            <w:tcW w:w="2619" w:type="dxa"/>
            <w:shd w:val="clear" w:color="auto" w:fill="F2F2F2" w:themeFill="background1" w:themeFillShade="F2"/>
          </w:tcPr>
          <w:p w:rsidR="00F0684D" w:rsidRPr="00EA6B4B" w:rsidRDefault="00F0684D" w:rsidP="00983EB4">
            <w:pPr>
              <w:rPr>
                <w:rFonts w:ascii="Arial Narrow" w:hAnsi="Arial Narrow" w:cs="Arial"/>
                <w:sz w:val="20"/>
                <w:szCs w:val="20"/>
                <w:lang w:val="en-US"/>
              </w:rPr>
            </w:pPr>
            <w:r w:rsidRPr="00EA6B4B">
              <w:rPr>
                <w:rFonts w:ascii="Arial Narrow" w:hAnsi="Arial Narrow" w:cs="Arial"/>
                <w:sz w:val="20"/>
                <w:szCs w:val="20"/>
                <w:lang w:val="en-US"/>
              </w:rPr>
              <w:t>Questionnaires dispatched in October 2015 to grant beneficiaries and unsuccessful applicants of the two calls of the programme at that time</w:t>
            </w:r>
          </w:p>
        </w:tc>
        <w:tc>
          <w:tcPr>
            <w:tcW w:w="2619" w:type="dxa"/>
            <w:shd w:val="clear" w:color="auto" w:fill="F2F2F2" w:themeFill="background1" w:themeFillShade="F2"/>
          </w:tcPr>
          <w:p w:rsidR="00F0684D" w:rsidRPr="00EA6B4B" w:rsidRDefault="00F0684D" w:rsidP="00983EB4">
            <w:pPr>
              <w:rPr>
                <w:rFonts w:ascii="Arial Narrow" w:hAnsi="Arial Narrow" w:cs="Arial"/>
                <w:sz w:val="20"/>
                <w:szCs w:val="20"/>
                <w:lang w:val="en-US"/>
              </w:rPr>
            </w:pPr>
            <w:r w:rsidRPr="00EA6B4B">
              <w:rPr>
                <w:rFonts w:ascii="Arial Narrow" w:hAnsi="Arial Narrow" w:cs="Arial"/>
                <w:sz w:val="20"/>
                <w:szCs w:val="20"/>
                <w:lang w:val="en-US"/>
              </w:rPr>
              <w:t>Analysis of responses and preparation of a report carried out in November-December 2015</w:t>
            </w:r>
          </w:p>
        </w:tc>
        <w:tc>
          <w:tcPr>
            <w:tcW w:w="2620" w:type="dxa"/>
            <w:shd w:val="clear" w:color="auto" w:fill="F2F2F2" w:themeFill="background1" w:themeFillShade="F2"/>
          </w:tcPr>
          <w:p w:rsidR="00F0684D" w:rsidRPr="00EA6B4B" w:rsidRDefault="00F0684D" w:rsidP="00F0684D">
            <w:pPr>
              <w:pStyle w:val="ListParagraph"/>
              <w:numPr>
                <w:ilvl w:val="0"/>
                <w:numId w:val="32"/>
              </w:numPr>
              <w:rPr>
                <w:rFonts w:ascii="Arial Narrow" w:hAnsi="Arial Narrow" w:cs="Arial"/>
                <w:sz w:val="20"/>
                <w:szCs w:val="20"/>
                <w:lang w:val="en-US"/>
              </w:rPr>
            </w:pPr>
            <w:r w:rsidRPr="00EA6B4B">
              <w:rPr>
                <w:rFonts w:ascii="Arial Narrow" w:hAnsi="Arial Narrow" w:cs="Arial"/>
                <w:sz w:val="20"/>
                <w:szCs w:val="20"/>
                <w:lang w:val="en-US"/>
              </w:rPr>
              <w:t xml:space="preserve">Pilot test of this initiative. </w:t>
            </w:r>
          </w:p>
          <w:p w:rsidR="00F0684D" w:rsidRPr="00EA6B4B" w:rsidRDefault="00F0684D" w:rsidP="00F0684D">
            <w:pPr>
              <w:pStyle w:val="ListParagraph"/>
              <w:numPr>
                <w:ilvl w:val="0"/>
                <w:numId w:val="32"/>
              </w:numPr>
              <w:rPr>
                <w:rFonts w:ascii="Arial Narrow" w:hAnsi="Arial Narrow" w:cs="Arial"/>
                <w:sz w:val="20"/>
                <w:szCs w:val="20"/>
                <w:lang w:val="en-US"/>
              </w:rPr>
            </w:pPr>
            <w:r w:rsidRPr="00EA6B4B">
              <w:rPr>
                <w:rFonts w:ascii="Arial Narrow" w:hAnsi="Arial Narrow" w:cs="Arial"/>
                <w:sz w:val="20"/>
                <w:szCs w:val="20"/>
                <w:lang w:val="en-US"/>
              </w:rPr>
              <w:t xml:space="preserve">Report incorporated to the 2015 AIR. </w:t>
            </w:r>
          </w:p>
          <w:p w:rsidR="00F0684D" w:rsidRPr="00EA6B4B" w:rsidRDefault="00F0684D" w:rsidP="00F0684D">
            <w:pPr>
              <w:pStyle w:val="ListParagraph"/>
              <w:numPr>
                <w:ilvl w:val="0"/>
                <w:numId w:val="32"/>
              </w:numPr>
              <w:rPr>
                <w:rFonts w:ascii="Arial Narrow" w:hAnsi="Arial Narrow" w:cs="Arial"/>
                <w:sz w:val="20"/>
                <w:szCs w:val="20"/>
                <w:lang w:val="en-US"/>
              </w:rPr>
            </w:pPr>
            <w:r w:rsidRPr="00EA6B4B">
              <w:rPr>
                <w:rFonts w:ascii="Arial Narrow" w:hAnsi="Arial Narrow" w:cs="Arial"/>
                <w:sz w:val="20"/>
                <w:szCs w:val="20"/>
                <w:lang w:val="en-US"/>
              </w:rPr>
              <w:t>Initiative to be repeated for the last call of the programme</w:t>
            </w:r>
          </w:p>
        </w:tc>
      </w:tr>
      <w:tr w:rsidR="00F0684D" w:rsidRPr="00EA6B4B" w:rsidTr="0047614B">
        <w:tc>
          <w:tcPr>
            <w:tcW w:w="1384" w:type="dxa"/>
            <w:shd w:val="clear" w:color="auto" w:fill="F2F2F2" w:themeFill="background1" w:themeFillShade="F2"/>
          </w:tcPr>
          <w:p w:rsidR="00F0684D" w:rsidRPr="0047614B" w:rsidRDefault="00F0684D" w:rsidP="00983EB4">
            <w:pPr>
              <w:rPr>
                <w:rFonts w:ascii="Arial Narrow" w:hAnsi="Arial Narrow" w:cs="Arial"/>
                <w:b/>
                <w:sz w:val="20"/>
                <w:szCs w:val="20"/>
                <w:lang w:val="en-US"/>
              </w:rPr>
            </w:pPr>
            <w:r w:rsidRPr="0047614B">
              <w:rPr>
                <w:rFonts w:ascii="Arial Narrow" w:hAnsi="Arial Narrow" w:cs="Arial"/>
                <w:b/>
                <w:sz w:val="20"/>
                <w:szCs w:val="20"/>
                <w:lang w:val="en-US"/>
              </w:rPr>
              <w:t>MK-AL</w:t>
            </w:r>
          </w:p>
        </w:tc>
        <w:tc>
          <w:tcPr>
            <w:tcW w:w="2619" w:type="dxa"/>
            <w:shd w:val="clear" w:color="auto" w:fill="F2F2F2" w:themeFill="background1" w:themeFillShade="F2"/>
          </w:tcPr>
          <w:p w:rsidR="00F0684D" w:rsidRPr="00EA6B4B" w:rsidRDefault="00F0684D" w:rsidP="00983EB4">
            <w:pPr>
              <w:rPr>
                <w:rFonts w:ascii="Arial Narrow" w:hAnsi="Arial Narrow" w:cs="Arial"/>
                <w:sz w:val="20"/>
                <w:szCs w:val="20"/>
                <w:lang w:val="en-US"/>
              </w:rPr>
            </w:pPr>
            <w:r w:rsidRPr="00EA6B4B">
              <w:rPr>
                <w:rFonts w:ascii="Arial Narrow" w:hAnsi="Arial Narrow" w:cs="Arial"/>
                <w:sz w:val="20"/>
                <w:szCs w:val="20"/>
                <w:lang w:val="en-US"/>
              </w:rPr>
              <w:t>Questionnaires dispatched by the JTS at the end of June 2016</w:t>
            </w:r>
          </w:p>
        </w:tc>
        <w:tc>
          <w:tcPr>
            <w:tcW w:w="2619" w:type="dxa"/>
            <w:shd w:val="clear" w:color="auto" w:fill="F2F2F2" w:themeFill="background1" w:themeFillShade="F2"/>
          </w:tcPr>
          <w:p w:rsidR="00F0684D" w:rsidRPr="00EA6B4B" w:rsidRDefault="00F0684D" w:rsidP="00983EB4">
            <w:pPr>
              <w:rPr>
                <w:rFonts w:ascii="Arial Narrow" w:hAnsi="Arial Narrow" w:cs="Arial"/>
                <w:sz w:val="20"/>
                <w:szCs w:val="20"/>
                <w:lang w:val="en-US"/>
              </w:rPr>
            </w:pPr>
            <w:r w:rsidRPr="00EA6B4B">
              <w:rPr>
                <w:rFonts w:ascii="Arial Narrow" w:hAnsi="Arial Narrow" w:cs="Arial"/>
                <w:sz w:val="20"/>
                <w:szCs w:val="20"/>
                <w:lang w:val="en-US"/>
              </w:rPr>
              <w:t>Collection of questionnaires from grant beneficiaries and unsuccessful applicants of the three calls of the programme</w:t>
            </w:r>
          </w:p>
        </w:tc>
        <w:tc>
          <w:tcPr>
            <w:tcW w:w="2620" w:type="dxa"/>
            <w:shd w:val="clear" w:color="auto" w:fill="F2F2F2" w:themeFill="background1" w:themeFillShade="F2"/>
          </w:tcPr>
          <w:p w:rsidR="00F0684D" w:rsidRPr="00EA6B4B" w:rsidRDefault="00F0684D" w:rsidP="00983EB4">
            <w:pPr>
              <w:rPr>
                <w:rFonts w:ascii="Arial Narrow" w:hAnsi="Arial Narrow" w:cs="Arial"/>
                <w:sz w:val="20"/>
                <w:szCs w:val="20"/>
                <w:lang w:val="en-US"/>
              </w:rPr>
            </w:pPr>
            <w:r w:rsidRPr="00EA6B4B">
              <w:rPr>
                <w:rFonts w:ascii="Arial Narrow" w:hAnsi="Arial Narrow" w:cs="Arial"/>
                <w:sz w:val="20"/>
                <w:szCs w:val="20"/>
                <w:lang w:val="en-US"/>
              </w:rPr>
              <w:t>The analysis of responses will be undertaken by the CBIB+2 project team upon notice from the JTS</w:t>
            </w:r>
          </w:p>
        </w:tc>
      </w:tr>
      <w:tr w:rsidR="00F0684D" w:rsidRPr="00EA6B4B" w:rsidTr="0047614B">
        <w:tc>
          <w:tcPr>
            <w:tcW w:w="1384" w:type="dxa"/>
            <w:shd w:val="clear" w:color="auto" w:fill="F2F2F2" w:themeFill="background1" w:themeFillShade="F2"/>
          </w:tcPr>
          <w:p w:rsidR="00F0684D" w:rsidRPr="0047614B" w:rsidRDefault="00F0684D" w:rsidP="00983EB4">
            <w:pPr>
              <w:rPr>
                <w:rFonts w:ascii="Arial Narrow" w:hAnsi="Arial Narrow" w:cs="Arial"/>
                <w:b/>
                <w:sz w:val="20"/>
                <w:szCs w:val="20"/>
                <w:lang w:val="en-US"/>
              </w:rPr>
            </w:pPr>
            <w:r w:rsidRPr="0047614B">
              <w:rPr>
                <w:rFonts w:ascii="Arial Narrow" w:hAnsi="Arial Narrow" w:cs="Arial"/>
                <w:b/>
                <w:sz w:val="20"/>
                <w:szCs w:val="20"/>
                <w:lang w:val="en-US"/>
              </w:rPr>
              <w:t>ME-XK</w:t>
            </w:r>
          </w:p>
        </w:tc>
        <w:tc>
          <w:tcPr>
            <w:tcW w:w="2619" w:type="dxa"/>
            <w:shd w:val="clear" w:color="auto" w:fill="F2F2F2" w:themeFill="background1" w:themeFillShade="F2"/>
          </w:tcPr>
          <w:p w:rsidR="00F0684D" w:rsidRPr="00EA6B4B" w:rsidRDefault="00F0684D" w:rsidP="00983EB4">
            <w:pPr>
              <w:rPr>
                <w:rFonts w:ascii="Arial Narrow" w:hAnsi="Arial Narrow" w:cs="Arial"/>
                <w:sz w:val="20"/>
                <w:szCs w:val="20"/>
                <w:lang w:val="en-US"/>
              </w:rPr>
            </w:pPr>
            <w:r w:rsidRPr="00EA6B4B">
              <w:rPr>
                <w:rFonts w:ascii="Arial Narrow" w:hAnsi="Arial Narrow" w:cs="Arial"/>
                <w:sz w:val="20"/>
                <w:szCs w:val="20"/>
                <w:lang w:val="en-US"/>
              </w:rPr>
              <w:t>Questionnaires sent for comments to the OSs on 23 August 2016.</w:t>
            </w:r>
          </w:p>
          <w:p w:rsidR="00F0684D" w:rsidRPr="00EA6B4B" w:rsidRDefault="00F0684D" w:rsidP="00983EB4">
            <w:pPr>
              <w:rPr>
                <w:rFonts w:ascii="Arial Narrow" w:hAnsi="Arial Narrow" w:cs="Arial"/>
                <w:sz w:val="20"/>
                <w:szCs w:val="20"/>
                <w:lang w:val="en-US"/>
              </w:rPr>
            </w:pPr>
            <w:r w:rsidRPr="00EA6B4B">
              <w:rPr>
                <w:rFonts w:ascii="Arial Narrow" w:hAnsi="Arial Narrow" w:cs="Arial"/>
                <w:sz w:val="20"/>
                <w:szCs w:val="20"/>
                <w:lang w:val="en-US"/>
              </w:rPr>
              <w:t xml:space="preserve">The DEU in ME issued some comments on 29 August 2016. </w:t>
            </w:r>
          </w:p>
        </w:tc>
        <w:tc>
          <w:tcPr>
            <w:tcW w:w="2619" w:type="dxa"/>
            <w:shd w:val="clear" w:color="auto" w:fill="F2F2F2" w:themeFill="background1" w:themeFillShade="F2"/>
          </w:tcPr>
          <w:p w:rsidR="00F0684D" w:rsidRPr="00EA6B4B" w:rsidRDefault="00F0684D" w:rsidP="00983EB4">
            <w:pPr>
              <w:rPr>
                <w:rFonts w:ascii="Arial Narrow" w:hAnsi="Arial Narrow" w:cs="Arial"/>
                <w:sz w:val="20"/>
                <w:szCs w:val="20"/>
                <w:lang w:val="en-US"/>
              </w:rPr>
            </w:pPr>
            <w:r w:rsidRPr="00EA6B4B">
              <w:rPr>
                <w:rFonts w:ascii="Arial Narrow" w:hAnsi="Arial Narrow" w:cs="Arial"/>
                <w:sz w:val="20"/>
                <w:szCs w:val="20"/>
                <w:lang w:val="en-US"/>
              </w:rPr>
              <w:t>The questionnaires were revised after the DEU ME comments and resent to the OSs for action on 31 August 2016.</w:t>
            </w:r>
          </w:p>
        </w:tc>
        <w:tc>
          <w:tcPr>
            <w:tcW w:w="2620" w:type="dxa"/>
            <w:shd w:val="clear" w:color="auto" w:fill="F2F2F2" w:themeFill="background1" w:themeFillShade="F2"/>
          </w:tcPr>
          <w:p w:rsidR="00F0684D" w:rsidRPr="00EA6B4B" w:rsidRDefault="00F0684D" w:rsidP="00983EB4">
            <w:pPr>
              <w:rPr>
                <w:rFonts w:ascii="Arial Narrow" w:hAnsi="Arial Narrow" w:cs="Arial"/>
                <w:sz w:val="20"/>
                <w:szCs w:val="20"/>
                <w:lang w:val="en-US"/>
              </w:rPr>
            </w:pPr>
            <w:r>
              <w:rPr>
                <w:rFonts w:ascii="Arial Narrow" w:hAnsi="Arial Narrow" w:cs="Arial"/>
                <w:sz w:val="20"/>
                <w:szCs w:val="20"/>
                <w:lang w:val="en-US"/>
              </w:rPr>
              <w:t>CBIB+2 has</w:t>
            </w:r>
            <w:r w:rsidRPr="00EA6B4B">
              <w:rPr>
                <w:rFonts w:ascii="Arial Narrow" w:hAnsi="Arial Narrow" w:cs="Arial"/>
                <w:sz w:val="20"/>
                <w:szCs w:val="20"/>
                <w:lang w:val="en-US"/>
              </w:rPr>
              <w:t xml:space="preserve"> no information o</w:t>
            </w:r>
            <w:r>
              <w:rPr>
                <w:rFonts w:ascii="Arial Narrow" w:hAnsi="Arial Narrow" w:cs="Arial"/>
                <w:sz w:val="20"/>
                <w:szCs w:val="20"/>
                <w:lang w:val="en-US"/>
              </w:rPr>
              <w:t>n whether the questionnaires are</w:t>
            </w:r>
            <w:r w:rsidRPr="00EA6B4B">
              <w:rPr>
                <w:rFonts w:ascii="Arial Narrow" w:hAnsi="Arial Narrow" w:cs="Arial"/>
                <w:sz w:val="20"/>
                <w:szCs w:val="20"/>
                <w:lang w:val="en-US"/>
              </w:rPr>
              <w:t xml:space="preserve"> acceptable </w:t>
            </w:r>
            <w:r>
              <w:rPr>
                <w:rFonts w:ascii="Arial Narrow" w:hAnsi="Arial Narrow" w:cs="Arial"/>
                <w:sz w:val="20"/>
                <w:szCs w:val="20"/>
                <w:lang w:val="en-US"/>
              </w:rPr>
              <w:t xml:space="preserve">to the OSs </w:t>
            </w:r>
            <w:r w:rsidRPr="00EA6B4B">
              <w:rPr>
                <w:rFonts w:ascii="Arial Narrow" w:hAnsi="Arial Narrow" w:cs="Arial"/>
                <w:sz w:val="20"/>
                <w:szCs w:val="20"/>
                <w:lang w:val="en-US"/>
              </w:rPr>
              <w:t xml:space="preserve">and dispatched to grant beneficiaries and unsuccessful applicants of the sole call of the programme so far. </w:t>
            </w:r>
          </w:p>
        </w:tc>
      </w:tr>
      <w:tr w:rsidR="00F0684D" w:rsidRPr="00EA6B4B" w:rsidTr="0047614B">
        <w:tc>
          <w:tcPr>
            <w:tcW w:w="1384" w:type="dxa"/>
            <w:shd w:val="clear" w:color="auto" w:fill="F2F2F2" w:themeFill="background1" w:themeFillShade="F2"/>
          </w:tcPr>
          <w:p w:rsidR="00F0684D" w:rsidRPr="0047614B" w:rsidRDefault="00F0684D" w:rsidP="00983EB4">
            <w:pPr>
              <w:rPr>
                <w:rFonts w:ascii="Arial Narrow" w:hAnsi="Arial Narrow" w:cs="Arial"/>
                <w:b/>
                <w:sz w:val="20"/>
                <w:szCs w:val="20"/>
                <w:lang w:val="en-US"/>
              </w:rPr>
            </w:pPr>
            <w:r w:rsidRPr="0047614B">
              <w:rPr>
                <w:rFonts w:ascii="Arial Narrow" w:hAnsi="Arial Narrow" w:cs="Arial"/>
                <w:b/>
                <w:sz w:val="20"/>
                <w:szCs w:val="20"/>
                <w:lang w:val="en-US"/>
              </w:rPr>
              <w:t>MK-XK</w:t>
            </w:r>
          </w:p>
        </w:tc>
        <w:tc>
          <w:tcPr>
            <w:tcW w:w="2619" w:type="dxa"/>
            <w:shd w:val="clear" w:color="auto" w:fill="F2F2F2" w:themeFill="background1" w:themeFillShade="F2"/>
          </w:tcPr>
          <w:p w:rsidR="00F0684D" w:rsidRPr="00EA6B4B" w:rsidRDefault="00F0684D" w:rsidP="00983EB4">
            <w:pPr>
              <w:rPr>
                <w:rFonts w:ascii="Arial Narrow" w:hAnsi="Arial Narrow" w:cs="Arial"/>
                <w:sz w:val="20"/>
                <w:szCs w:val="20"/>
                <w:lang w:val="en-US"/>
              </w:rPr>
            </w:pPr>
            <w:r w:rsidRPr="00EA6B4B">
              <w:rPr>
                <w:rFonts w:ascii="Arial Narrow" w:hAnsi="Arial Narrow" w:cs="Arial"/>
                <w:sz w:val="20"/>
                <w:szCs w:val="20"/>
                <w:lang w:val="en-US"/>
              </w:rPr>
              <w:t>Questionnaires sent for comments to the OSs on 23 August 2016.</w:t>
            </w:r>
          </w:p>
        </w:tc>
        <w:tc>
          <w:tcPr>
            <w:tcW w:w="2619" w:type="dxa"/>
            <w:shd w:val="clear" w:color="auto" w:fill="F2F2F2" w:themeFill="background1" w:themeFillShade="F2"/>
          </w:tcPr>
          <w:p w:rsidR="00F0684D" w:rsidRPr="00EA6B4B" w:rsidRDefault="00F0684D" w:rsidP="00983EB4">
            <w:pPr>
              <w:rPr>
                <w:rFonts w:ascii="Arial Narrow" w:hAnsi="Arial Narrow" w:cs="Arial"/>
                <w:sz w:val="20"/>
                <w:szCs w:val="20"/>
                <w:lang w:val="en-US"/>
              </w:rPr>
            </w:pPr>
            <w:r>
              <w:rPr>
                <w:rFonts w:ascii="Arial Narrow" w:hAnsi="Arial Narrow" w:cs="Arial"/>
                <w:sz w:val="20"/>
                <w:szCs w:val="20"/>
                <w:lang w:val="en-US"/>
              </w:rPr>
              <w:t>No reaction from the OSs to date</w:t>
            </w:r>
          </w:p>
        </w:tc>
        <w:tc>
          <w:tcPr>
            <w:tcW w:w="2620" w:type="dxa"/>
            <w:shd w:val="clear" w:color="auto" w:fill="F2F2F2" w:themeFill="background1" w:themeFillShade="F2"/>
          </w:tcPr>
          <w:p w:rsidR="00F0684D" w:rsidRPr="00EA6B4B" w:rsidRDefault="00F0684D" w:rsidP="00983EB4">
            <w:pPr>
              <w:rPr>
                <w:rFonts w:ascii="Arial Narrow" w:hAnsi="Arial Narrow" w:cs="Arial"/>
                <w:sz w:val="20"/>
                <w:szCs w:val="20"/>
                <w:lang w:val="en-US"/>
              </w:rPr>
            </w:pPr>
            <w:r>
              <w:rPr>
                <w:rFonts w:ascii="Arial Narrow" w:hAnsi="Arial Narrow" w:cs="Arial"/>
                <w:sz w:val="20"/>
                <w:szCs w:val="20"/>
                <w:lang w:val="en-US"/>
              </w:rPr>
              <w:t>CBIB+2 has</w:t>
            </w:r>
            <w:r w:rsidRPr="00EA6B4B">
              <w:rPr>
                <w:rFonts w:ascii="Arial Narrow" w:hAnsi="Arial Narrow" w:cs="Arial"/>
                <w:sz w:val="20"/>
                <w:szCs w:val="20"/>
                <w:lang w:val="en-US"/>
              </w:rPr>
              <w:t xml:space="preserve"> no information on whether the questionnaires are acceptable and dispatched to grant beneficiaries and unsuccessful applicants of the sole call of the programme so far.</w:t>
            </w:r>
          </w:p>
        </w:tc>
      </w:tr>
      <w:tr w:rsidR="00F0684D" w:rsidRPr="00EA6B4B" w:rsidTr="0047614B">
        <w:tc>
          <w:tcPr>
            <w:tcW w:w="1384" w:type="dxa"/>
            <w:shd w:val="clear" w:color="auto" w:fill="F2F2F2" w:themeFill="background1" w:themeFillShade="F2"/>
          </w:tcPr>
          <w:p w:rsidR="00F0684D" w:rsidRPr="0047614B" w:rsidRDefault="00F0684D" w:rsidP="00983EB4">
            <w:pPr>
              <w:rPr>
                <w:rFonts w:ascii="Arial Narrow" w:hAnsi="Arial Narrow" w:cs="Arial"/>
                <w:b/>
                <w:sz w:val="20"/>
                <w:szCs w:val="20"/>
                <w:lang w:val="en-US"/>
              </w:rPr>
            </w:pPr>
            <w:r w:rsidRPr="0047614B">
              <w:rPr>
                <w:rFonts w:ascii="Arial Narrow" w:hAnsi="Arial Narrow" w:cs="Arial"/>
                <w:b/>
                <w:sz w:val="20"/>
                <w:szCs w:val="20"/>
                <w:lang w:val="en-US"/>
              </w:rPr>
              <w:t>RS-BA</w:t>
            </w:r>
          </w:p>
        </w:tc>
        <w:tc>
          <w:tcPr>
            <w:tcW w:w="2619" w:type="dxa"/>
            <w:shd w:val="clear" w:color="auto" w:fill="F2F2F2" w:themeFill="background1" w:themeFillShade="F2"/>
          </w:tcPr>
          <w:p w:rsidR="00F0684D" w:rsidRPr="00EA6B4B" w:rsidRDefault="00F0684D" w:rsidP="00983EB4">
            <w:pPr>
              <w:rPr>
                <w:rFonts w:ascii="Arial Narrow" w:hAnsi="Arial Narrow" w:cs="Arial"/>
                <w:sz w:val="20"/>
                <w:szCs w:val="20"/>
                <w:lang w:val="en-US"/>
              </w:rPr>
            </w:pPr>
            <w:r w:rsidRPr="00EA6B4B">
              <w:rPr>
                <w:rFonts w:ascii="Arial Narrow" w:hAnsi="Arial Narrow" w:cs="Arial"/>
                <w:sz w:val="20"/>
                <w:szCs w:val="20"/>
                <w:lang w:val="en-US"/>
              </w:rPr>
              <w:t>Questionnaires sent for comments to the OSs on 28 September 2016.</w:t>
            </w:r>
          </w:p>
        </w:tc>
        <w:tc>
          <w:tcPr>
            <w:tcW w:w="2619" w:type="dxa"/>
            <w:shd w:val="clear" w:color="auto" w:fill="F2F2F2" w:themeFill="background1" w:themeFillShade="F2"/>
          </w:tcPr>
          <w:p w:rsidR="00F0684D" w:rsidRPr="00EA6B4B" w:rsidRDefault="00F0684D" w:rsidP="00983EB4">
            <w:pPr>
              <w:rPr>
                <w:rFonts w:ascii="Arial Narrow" w:hAnsi="Arial Narrow" w:cs="Arial"/>
                <w:sz w:val="20"/>
                <w:szCs w:val="20"/>
                <w:lang w:val="en-US"/>
              </w:rPr>
            </w:pPr>
            <w:r>
              <w:rPr>
                <w:rFonts w:ascii="Arial Narrow" w:hAnsi="Arial Narrow" w:cs="Arial"/>
                <w:sz w:val="20"/>
                <w:szCs w:val="20"/>
                <w:lang w:val="en-US"/>
              </w:rPr>
              <w:t>No reaction from the OSs to date</w:t>
            </w:r>
          </w:p>
        </w:tc>
        <w:tc>
          <w:tcPr>
            <w:tcW w:w="2620" w:type="dxa"/>
            <w:shd w:val="clear" w:color="auto" w:fill="F2F2F2" w:themeFill="background1" w:themeFillShade="F2"/>
          </w:tcPr>
          <w:p w:rsidR="00F0684D" w:rsidRPr="00EA6B4B" w:rsidRDefault="00F0684D" w:rsidP="00983EB4">
            <w:pPr>
              <w:rPr>
                <w:rFonts w:ascii="Arial Narrow" w:hAnsi="Arial Narrow" w:cs="Arial"/>
                <w:sz w:val="20"/>
                <w:szCs w:val="20"/>
                <w:lang w:val="en-US"/>
              </w:rPr>
            </w:pPr>
            <w:r w:rsidRPr="00EA6B4B">
              <w:rPr>
                <w:rFonts w:ascii="Arial Narrow" w:hAnsi="Arial Narrow" w:cs="Arial"/>
                <w:sz w:val="20"/>
                <w:szCs w:val="20"/>
                <w:lang w:val="en-US"/>
              </w:rPr>
              <w:t>The questionnaires are encompassing the grant beneficiaries and unsuccessful applicants of the two first calls of the programme.</w:t>
            </w:r>
          </w:p>
        </w:tc>
      </w:tr>
      <w:tr w:rsidR="00F0684D" w:rsidRPr="00EA6B4B" w:rsidTr="0047614B">
        <w:tc>
          <w:tcPr>
            <w:tcW w:w="1384" w:type="dxa"/>
            <w:shd w:val="clear" w:color="auto" w:fill="F2F2F2" w:themeFill="background1" w:themeFillShade="F2"/>
          </w:tcPr>
          <w:p w:rsidR="00F0684D" w:rsidRPr="0047614B" w:rsidRDefault="00F0684D" w:rsidP="00983EB4">
            <w:pPr>
              <w:rPr>
                <w:rFonts w:ascii="Arial Narrow" w:hAnsi="Arial Narrow" w:cs="Arial"/>
                <w:b/>
                <w:sz w:val="20"/>
                <w:szCs w:val="20"/>
                <w:lang w:val="en-US"/>
              </w:rPr>
            </w:pPr>
            <w:r w:rsidRPr="0047614B">
              <w:rPr>
                <w:rFonts w:ascii="Arial Narrow" w:hAnsi="Arial Narrow" w:cs="Arial"/>
                <w:b/>
                <w:sz w:val="20"/>
                <w:szCs w:val="20"/>
                <w:lang w:val="en-US"/>
              </w:rPr>
              <w:t>BA-ME</w:t>
            </w:r>
          </w:p>
        </w:tc>
        <w:tc>
          <w:tcPr>
            <w:tcW w:w="2619" w:type="dxa"/>
            <w:shd w:val="clear" w:color="auto" w:fill="F2F2F2" w:themeFill="background1" w:themeFillShade="F2"/>
          </w:tcPr>
          <w:p w:rsidR="00F0684D" w:rsidRPr="00EA6B4B" w:rsidRDefault="00F0684D" w:rsidP="00983EB4">
            <w:pPr>
              <w:rPr>
                <w:rFonts w:ascii="Arial Narrow" w:hAnsi="Arial Narrow" w:cs="Arial"/>
                <w:sz w:val="20"/>
                <w:szCs w:val="20"/>
                <w:lang w:val="en-US"/>
              </w:rPr>
            </w:pPr>
            <w:r w:rsidRPr="00EA6B4B">
              <w:rPr>
                <w:rFonts w:ascii="Arial Narrow" w:hAnsi="Arial Narrow" w:cs="Arial"/>
                <w:sz w:val="20"/>
                <w:szCs w:val="20"/>
                <w:lang w:val="en-US"/>
              </w:rPr>
              <w:t>Questionnaires sent for comments to the OSs on 28 September 2016.</w:t>
            </w:r>
          </w:p>
        </w:tc>
        <w:tc>
          <w:tcPr>
            <w:tcW w:w="2619" w:type="dxa"/>
            <w:shd w:val="clear" w:color="auto" w:fill="F2F2F2" w:themeFill="background1" w:themeFillShade="F2"/>
          </w:tcPr>
          <w:p w:rsidR="00F0684D" w:rsidRPr="00EA6B4B" w:rsidRDefault="00F0684D" w:rsidP="00983EB4">
            <w:pPr>
              <w:rPr>
                <w:rFonts w:ascii="Arial Narrow" w:hAnsi="Arial Narrow" w:cs="Arial"/>
                <w:sz w:val="20"/>
                <w:szCs w:val="20"/>
                <w:lang w:val="en-US"/>
              </w:rPr>
            </w:pPr>
            <w:r>
              <w:rPr>
                <w:rFonts w:ascii="Arial Narrow" w:hAnsi="Arial Narrow" w:cs="Arial"/>
                <w:sz w:val="20"/>
                <w:szCs w:val="20"/>
                <w:lang w:val="en-US"/>
              </w:rPr>
              <w:t>No reaction from the OSs to date</w:t>
            </w:r>
          </w:p>
        </w:tc>
        <w:tc>
          <w:tcPr>
            <w:tcW w:w="2620" w:type="dxa"/>
            <w:shd w:val="clear" w:color="auto" w:fill="F2F2F2" w:themeFill="background1" w:themeFillShade="F2"/>
          </w:tcPr>
          <w:p w:rsidR="00F0684D" w:rsidRPr="00EA6B4B" w:rsidRDefault="00F0684D" w:rsidP="00983EB4">
            <w:pPr>
              <w:rPr>
                <w:rFonts w:ascii="Arial Narrow" w:hAnsi="Arial Narrow" w:cs="Arial"/>
                <w:sz w:val="20"/>
                <w:szCs w:val="20"/>
                <w:lang w:val="en-US"/>
              </w:rPr>
            </w:pPr>
            <w:r w:rsidRPr="00EA6B4B">
              <w:rPr>
                <w:rFonts w:ascii="Arial Narrow" w:hAnsi="Arial Narrow" w:cs="Arial"/>
                <w:sz w:val="20"/>
                <w:szCs w:val="20"/>
                <w:lang w:val="en-US"/>
              </w:rPr>
              <w:t>The questionnaires are encompassing the grant beneficiaries and unsuccessful applicants of all the three calls of the programme.</w:t>
            </w:r>
          </w:p>
        </w:tc>
      </w:tr>
      <w:tr w:rsidR="00F0684D" w:rsidRPr="00EA6B4B" w:rsidTr="0047614B">
        <w:tc>
          <w:tcPr>
            <w:tcW w:w="1384" w:type="dxa"/>
            <w:shd w:val="clear" w:color="auto" w:fill="F2F2F2" w:themeFill="background1" w:themeFillShade="F2"/>
          </w:tcPr>
          <w:p w:rsidR="00F0684D" w:rsidRPr="0047614B" w:rsidRDefault="00F0684D" w:rsidP="00983EB4">
            <w:pPr>
              <w:rPr>
                <w:rFonts w:ascii="Arial Narrow" w:hAnsi="Arial Narrow" w:cs="Arial"/>
                <w:b/>
                <w:sz w:val="20"/>
                <w:szCs w:val="20"/>
                <w:lang w:val="en-US"/>
              </w:rPr>
            </w:pPr>
            <w:r w:rsidRPr="0047614B">
              <w:rPr>
                <w:rFonts w:ascii="Arial Narrow" w:hAnsi="Arial Narrow" w:cs="Arial"/>
                <w:b/>
                <w:sz w:val="20"/>
                <w:szCs w:val="20"/>
                <w:lang w:val="en-US"/>
              </w:rPr>
              <w:t>AL-XK</w:t>
            </w:r>
          </w:p>
        </w:tc>
        <w:tc>
          <w:tcPr>
            <w:tcW w:w="2619" w:type="dxa"/>
            <w:shd w:val="clear" w:color="auto" w:fill="F2F2F2" w:themeFill="background1" w:themeFillShade="F2"/>
          </w:tcPr>
          <w:p w:rsidR="00F0684D" w:rsidRDefault="00F0684D" w:rsidP="00983EB4">
            <w:pPr>
              <w:rPr>
                <w:rFonts w:ascii="Arial Narrow" w:hAnsi="Arial Narrow" w:cs="Arial"/>
                <w:sz w:val="20"/>
                <w:szCs w:val="20"/>
                <w:lang w:val="en-US"/>
              </w:rPr>
            </w:pPr>
            <w:r w:rsidRPr="00EA6B4B">
              <w:rPr>
                <w:rFonts w:ascii="Arial Narrow" w:hAnsi="Arial Narrow" w:cs="Arial"/>
                <w:sz w:val="20"/>
                <w:szCs w:val="20"/>
                <w:lang w:val="en-US"/>
              </w:rPr>
              <w:t>Questionnaires sent for comments to the OSs on 28 September 2016.</w:t>
            </w:r>
          </w:p>
          <w:p w:rsidR="00F0684D" w:rsidRPr="00EA6B4B" w:rsidRDefault="00F0684D" w:rsidP="00983EB4">
            <w:pPr>
              <w:rPr>
                <w:rFonts w:ascii="Arial Narrow" w:hAnsi="Arial Narrow" w:cs="Arial"/>
                <w:sz w:val="20"/>
                <w:szCs w:val="20"/>
                <w:lang w:val="en-US"/>
              </w:rPr>
            </w:pPr>
            <w:r w:rsidRPr="00EA6B4B">
              <w:rPr>
                <w:rFonts w:ascii="Arial Narrow" w:hAnsi="Arial Narrow" w:cs="Arial"/>
                <w:sz w:val="20"/>
                <w:szCs w:val="20"/>
                <w:lang w:val="en-US"/>
              </w:rPr>
              <w:t xml:space="preserve">The </w:t>
            </w:r>
            <w:r>
              <w:rPr>
                <w:rFonts w:ascii="Arial Narrow" w:hAnsi="Arial Narrow" w:cs="Arial"/>
                <w:sz w:val="20"/>
                <w:szCs w:val="20"/>
                <w:lang w:val="en-US"/>
              </w:rPr>
              <w:t>AL OS issued some comments on 30</w:t>
            </w:r>
            <w:r w:rsidRPr="00EA6B4B">
              <w:rPr>
                <w:rFonts w:ascii="Arial Narrow" w:hAnsi="Arial Narrow" w:cs="Arial"/>
                <w:sz w:val="20"/>
                <w:szCs w:val="20"/>
                <w:lang w:val="en-US"/>
              </w:rPr>
              <w:t xml:space="preserve"> </w:t>
            </w:r>
            <w:r>
              <w:rPr>
                <w:rFonts w:ascii="Arial Narrow" w:hAnsi="Arial Narrow" w:cs="Arial"/>
                <w:sz w:val="20"/>
                <w:szCs w:val="20"/>
                <w:lang w:val="en-US"/>
              </w:rPr>
              <w:t>September</w:t>
            </w:r>
            <w:r w:rsidRPr="00EA6B4B">
              <w:rPr>
                <w:rFonts w:ascii="Arial Narrow" w:hAnsi="Arial Narrow" w:cs="Arial"/>
                <w:sz w:val="20"/>
                <w:szCs w:val="20"/>
                <w:lang w:val="en-US"/>
              </w:rPr>
              <w:t xml:space="preserve"> 2016.</w:t>
            </w:r>
          </w:p>
        </w:tc>
        <w:tc>
          <w:tcPr>
            <w:tcW w:w="2619" w:type="dxa"/>
            <w:shd w:val="clear" w:color="auto" w:fill="F2F2F2" w:themeFill="background1" w:themeFillShade="F2"/>
          </w:tcPr>
          <w:p w:rsidR="00F0684D" w:rsidRPr="00EA6B4B" w:rsidRDefault="00F0684D" w:rsidP="00983EB4">
            <w:pPr>
              <w:rPr>
                <w:rFonts w:ascii="Arial Narrow" w:hAnsi="Arial Narrow" w:cs="Arial"/>
                <w:sz w:val="20"/>
                <w:szCs w:val="20"/>
                <w:lang w:val="en-US"/>
              </w:rPr>
            </w:pPr>
            <w:r w:rsidRPr="00EA6B4B">
              <w:rPr>
                <w:rFonts w:ascii="Arial Narrow" w:hAnsi="Arial Narrow" w:cs="Arial"/>
                <w:sz w:val="20"/>
                <w:szCs w:val="20"/>
                <w:lang w:val="en-US"/>
              </w:rPr>
              <w:t>The q</w:t>
            </w:r>
            <w:r>
              <w:rPr>
                <w:rFonts w:ascii="Arial Narrow" w:hAnsi="Arial Narrow" w:cs="Arial"/>
                <w:sz w:val="20"/>
                <w:szCs w:val="20"/>
                <w:lang w:val="en-US"/>
              </w:rPr>
              <w:t>uestionnaires were revised following</w:t>
            </w:r>
            <w:r w:rsidRPr="00EA6B4B">
              <w:rPr>
                <w:rFonts w:ascii="Arial Narrow" w:hAnsi="Arial Narrow" w:cs="Arial"/>
                <w:sz w:val="20"/>
                <w:szCs w:val="20"/>
                <w:lang w:val="en-US"/>
              </w:rPr>
              <w:t xml:space="preserve"> the </w:t>
            </w:r>
            <w:r>
              <w:rPr>
                <w:rFonts w:ascii="Arial Narrow" w:hAnsi="Arial Narrow" w:cs="Arial"/>
                <w:sz w:val="20"/>
                <w:szCs w:val="20"/>
                <w:lang w:val="en-US"/>
              </w:rPr>
              <w:t>AL OS</w:t>
            </w:r>
            <w:r w:rsidRPr="00EA6B4B">
              <w:rPr>
                <w:rFonts w:ascii="Arial Narrow" w:hAnsi="Arial Narrow" w:cs="Arial"/>
                <w:sz w:val="20"/>
                <w:szCs w:val="20"/>
                <w:lang w:val="en-US"/>
              </w:rPr>
              <w:t xml:space="preserve"> comments and resent to the OSs</w:t>
            </w:r>
            <w:r>
              <w:rPr>
                <w:rFonts w:ascii="Arial Narrow" w:hAnsi="Arial Narrow" w:cs="Arial"/>
                <w:sz w:val="20"/>
                <w:szCs w:val="20"/>
                <w:lang w:val="en-US"/>
              </w:rPr>
              <w:t xml:space="preserve"> for action on 3 October</w:t>
            </w:r>
            <w:r w:rsidRPr="00EA6B4B">
              <w:rPr>
                <w:rFonts w:ascii="Arial Narrow" w:hAnsi="Arial Narrow" w:cs="Arial"/>
                <w:sz w:val="20"/>
                <w:szCs w:val="20"/>
                <w:lang w:val="en-US"/>
              </w:rPr>
              <w:t xml:space="preserve"> 2016.</w:t>
            </w:r>
          </w:p>
        </w:tc>
        <w:tc>
          <w:tcPr>
            <w:tcW w:w="2620" w:type="dxa"/>
            <w:shd w:val="clear" w:color="auto" w:fill="F2F2F2" w:themeFill="background1" w:themeFillShade="F2"/>
          </w:tcPr>
          <w:p w:rsidR="00F0684D" w:rsidRPr="00EA6B4B" w:rsidRDefault="00F0684D" w:rsidP="00983EB4">
            <w:pPr>
              <w:rPr>
                <w:rFonts w:ascii="Arial Narrow" w:hAnsi="Arial Narrow" w:cs="Arial"/>
                <w:sz w:val="20"/>
                <w:szCs w:val="20"/>
                <w:lang w:val="en-US"/>
              </w:rPr>
            </w:pPr>
            <w:r>
              <w:rPr>
                <w:rFonts w:ascii="Arial Narrow" w:hAnsi="Arial Narrow" w:cs="Arial"/>
                <w:sz w:val="20"/>
                <w:szCs w:val="20"/>
                <w:lang w:val="en-US"/>
              </w:rPr>
              <w:t>CBIB+2 has</w:t>
            </w:r>
            <w:r w:rsidRPr="00EA6B4B">
              <w:rPr>
                <w:rFonts w:ascii="Arial Narrow" w:hAnsi="Arial Narrow" w:cs="Arial"/>
                <w:sz w:val="20"/>
                <w:szCs w:val="20"/>
                <w:lang w:val="en-US"/>
              </w:rPr>
              <w:t xml:space="preserve"> no information on whether the questionnaires </w:t>
            </w:r>
            <w:r>
              <w:rPr>
                <w:rFonts w:ascii="Arial Narrow" w:hAnsi="Arial Narrow" w:cs="Arial"/>
                <w:sz w:val="20"/>
                <w:szCs w:val="20"/>
                <w:lang w:val="en-US"/>
              </w:rPr>
              <w:t xml:space="preserve">have been </w:t>
            </w:r>
            <w:r w:rsidRPr="00EA6B4B">
              <w:rPr>
                <w:rFonts w:ascii="Arial Narrow" w:hAnsi="Arial Narrow" w:cs="Arial"/>
                <w:sz w:val="20"/>
                <w:szCs w:val="20"/>
                <w:lang w:val="en-US"/>
              </w:rPr>
              <w:t>dispatched to grant beneficiaries and unsuccessful applicants of the sole call of the programme so far.</w:t>
            </w:r>
          </w:p>
        </w:tc>
      </w:tr>
      <w:tr w:rsidR="00F0684D" w:rsidRPr="00EA6B4B" w:rsidTr="0047614B">
        <w:tc>
          <w:tcPr>
            <w:tcW w:w="1384" w:type="dxa"/>
            <w:shd w:val="clear" w:color="auto" w:fill="F2F2F2" w:themeFill="background1" w:themeFillShade="F2"/>
          </w:tcPr>
          <w:p w:rsidR="00F0684D" w:rsidRPr="0047614B" w:rsidRDefault="00F0684D" w:rsidP="00983EB4">
            <w:pPr>
              <w:rPr>
                <w:rFonts w:ascii="Arial Narrow" w:hAnsi="Arial Narrow" w:cs="Arial"/>
                <w:b/>
                <w:sz w:val="20"/>
                <w:szCs w:val="20"/>
                <w:lang w:val="en-US"/>
              </w:rPr>
            </w:pPr>
            <w:r w:rsidRPr="0047614B">
              <w:rPr>
                <w:rFonts w:ascii="Arial Narrow" w:hAnsi="Arial Narrow" w:cs="Arial"/>
                <w:b/>
                <w:sz w:val="20"/>
                <w:szCs w:val="20"/>
                <w:lang w:val="en-US"/>
              </w:rPr>
              <w:t>AL-ME</w:t>
            </w:r>
          </w:p>
        </w:tc>
        <w:tc>
          <w:tcPr>
            <w:tcW w:w="2619" w:type="dxa"/>
            <w:shd w:val="clear" w:color="auto" w:fill="F2F2F2" w:themeFill="background1" w:themeFillShade="F2"/>
          </w:tcPr>
          <w:p w:rsidR="00F0684D" w:rsidRPr="00EA6B4B" w:rsidRDefault="00F0684D" w:rsidP="00983EB4">
            <w:pPr>
              <w:rPr>
                <w:rFonts w:ascii="Arial Narrow" w:hAnsi="Arial Narrow" w:cs="Arial"/>
                <w:sz w:val="20"/>
                <w:szCs w:val="20"/>
                <w:lang w:val="en-US"/>
              </w:rPr>
            </w:pPr>
            <w:r w:rsidRPr="00EA6B4B">
              <w:rPr>
                <w:rFonts w:ascii="Arial Narrow" w:hAnsi="Arial Narrow" w:cs="Arial"/>
                <w:sz w:val="20"/>
                <w:szCs w:val="20"/>
                <w:lang w:val="en-US"/>
              </w:rPr>
              <w:t>Questionnaires sent for comments to the OSs on 28 September 2016.</w:t>
            </w:r>
          </w:p>
        </w:tc>
        <w:tc>
          <w:tcPr>
            <w:tcW w:w="2619" w:type="dxa"/>
            <w:shd w:val="clear" w:color="auto" w:fill="F2F2F2" w:themeFill="background1" w:themeFillShade="F2"/>
          </w:tcPr>
          <w:p w:rsidR="00F0684D" w:rsidRPr="00EA6B4B" w:rsidRDefault="00F0684D" w:rsidP="00983EB4">
            <w:pPr>
              <w:rPr>
                <w:rFonts w:ascii="Arial Narrow" w:hAnsi="Arial Narrow" w:cs="Arial"/>
                <w:sz w:val="20"/>
                <w:szCs w:val="20"/>
                <w:lang w:val="en-US"/>
              </w:rPr>
            </w:pPr>
            <w:r>
              <w:rPr>
                <w:rFonts w:ascii="Arial Narrow" w:hAnsi="Arial Narrow" w:cs="Arial"/>
                <w:sz w:val="20"/>
                <w:szCs w:val="20"/>
                <w:lang w:val="en-US"/>
              </w:rPr>
              <w:t>No reaction from the OSs to date</w:t>
            </w:r>
          </w:p>
        </w:tc>
        <w:tc>
          <w:tcPr>
            <w:tcW w:w="2620" w:type="dxa"/>
            <w:shd w:val="clear" w:color="auto" w:fill="F2F2F2" w:themeFill="background1" w:themeFillShade="F2"/>
          </w:tcPr>
          <w:p w:rsidR="00F0684D" w:rsidRPr="00EA6B4B" w:rsidRDefault="00F0684D" w:rsidP="00983EB4">
            <w:pPr>
              <w:rPr>
                <w:rFonts w:ascii="Arial Narrow" w:hAnsi="Arial Narrow" w:cs="Arial"/>
                <w:sz w:val="20"/>
                <w:szCs w:val="20"/>
                <w:lang w:val="en-US"/>
              </w:rPr>
            </w:pPr>
            <w:r w:rsidRPr="00EA6B4B">
              <w:rPr>
                <w:rFonts w:ascii="Arial Narrow" w:hAnsi="Arial Narrow" w:cs="Arial"/>
                <w:sz w:val="20"/>
                <w:szCs w:val="20"/>
                <w:lang w:val="en-US"/>
              </w:rPr>
              <w:t>The questionnaires are encompassing the grant beneficiaries and unsuccessful applicants of all the three calls of the programme.</w:t>
            </w:r>
          </w:p>
        </w:tc>
      </w:tr>
    </w:tbl>
    <w:p w:rsidR="00F0684D" w:rsidRDefault="00F0684D" w:rsidP="001B3A34">
      <w:pPr>
        <w:spacing w:after="0" w:line="240" w:lineRule="auto"/>
        <w:jc w:val="both"/>
        <w:rPr>
          <w:rFonts w:ascii="Arial" w:hAnsi="Arial" w:cs="Arial"/>
        </w:rPr>
      </w:pPr>
    </w:p>
    <w:p w:rsidR="00BF1727" w:rsidRDefault="00BF1727" w:rsidP="001B3A34">
      <w:pPr>
        <w:spacing w:after="0" w:line="240" w:lineRule="auto"/>
        <w:rPr>
          <w:rFonts w:ascii="Arial" w:hAnsi="Arial" w:cs="Arial"/>
          <w:b/>
          <w:i/>
        </w:rPr>
      </w:pPr>
    </w:p>
    <w:p w:rsidR="00C51C43" w:rsidRPr="00C51C43" w:rsidRDefault="00C51C43" w:rsidP="001B3A34">
      <w:pPr>
        <w:spacing w:after="0" w:line="240" w:lineRule="auto"/>
        <w:rPr>
          <w:rFonts w:ascii="Arial" w:hAnsi="Arial" w:cs="Arial"/>
          <w:b/>
          <w:i/>
        </w:rPr>
      </w:pPr>
      <w:r w:rsidRPr="00C51C43">
        <w:rPr>
          <w:rFonts w:ascii="Arial" w:hAnsi="Arial" w:cs="Arial"/>
          <w:b/>
          <w:i/>
        </w:rPr>
        <w:t xml:space="preserve">Surveys of potential beneficiaries </w:t>
      </w:r>
    </w:p>
    <w:p w:rsidR="00BF1727" w:rsidRDefault="00BF1727" w:rsidP="001B3A34">
      <w:pPr>
        <w:spacing w:after="0" w:line="240" w:lineRule="auto"/>
        <w:jc w:val="both"/>
        <w:rPr>
          <w:rFonts w:ascii="Arial" w:hAnsi="Arial" w:cs="Arial"/>
        </w:rPr>
      </w:pPr>
    </w:p>
    <w:p w:rsidR="00DE46AC" w:rsidRDefault="00984A1A" w:rsidP="001B3A34">
      <w:pPr>
        <w:spacing w:after="0" w:line="240" w:lineRule="auto"/>
        <w:jc w:val="both"/>
        <w:rPr>
          <w:rFonts w:ascii="Arial" w:hAnsi="Arial" w:cs="Arial"/>
        </w:rPr>
      </w:pPr>
      <w:r>
        <w:rPr>
          <w:rFonts w:ascii="Arial" w:hAnsi="Arial" w:cs="Arial"/>
        </w:rPr>
        <w:t xml:space="preserve">The above surveys </w:t>
      </w:r>
      <w:r w:rsidR="00F93682" w:rsidRPr="00F93682">
        <w:rPr>
          <w:rFonts w:ascii="Arial" w:hAnsi="Arial" w:cs="Arial"/>
        </w:rPr>
        <w:t xml:space="preserve">could be extended </w:t>
      </w:r>
      <w:r>
        <w:rPr>
          <w:rFonts w:ascii="Arial" w:hAnsi="Arial" w:cs="Arial"/>
        </w:rPr>
        <w:t>t</w:t>
      </w:r>
      <w:r w:rsidR="00DE46AC">
        <w:rPr>
          <w:rFonts w:ascii="Arial" w:hAnsi="Arial" w:cs="Arial"/>
        </w:rPr>
        <w:t xml:space="preserve">o cover </w:t>
      </w:r>
      <w:r w:rsidR="009A257A">
        <w:rPr>
          <w:rFonts w:ascii="Arial" w:hAnsi="Arial" w:cs="Arial"/>
        </w:rPr>
        <w:t>would-be</w:t>
      </w:r>
      <w:r w:rsidR="00DE46AC">
        <w:rPr>
          <w:rFonts w:ascii="Arial" w:hAnsi="Arial" w:cs="Arial"/>
        </w:rPr>
        <w:t xml:space="preserve"> beneficiaries, focusing on their awareness, capacities, potential and needs. </w:t>
      </w:r>
      <w:r w:rsidR="009A257A">
        <w:rPr>
          <w:rFonts w:ascii="Arial" w:hAnsi="Arial" w:cs="Arial"/>
        </w:rPr>
        <w:t xml:space="preserve">For this purpose, </w:t>
      </w:r>
      <w:r w:rsidR="005A3A4A">
        <w:rPr>
          <w:rFonts w:ascii="Arial" w:hAnsi="Arial" w:cs="Arial"/>
        </w:rPr>
        <w:t xml:space="preserve">the </w:t>
      </w:r>
      <w:r w:rsidR="009A257A">
        <w:rPr>
          <w:rFonts w:ascii="Arial" w:hAnsi="Arial" w:cs="Arial"/>
        </w:rPr>
        <w:t>JTSs should maintain</w:t>
      </w:r>
      <w:r w:rsidR="00BF1727">
        <w:rPr>
          <w:rFonts w:ascii="Arial" w:hAnsi="Arial" w:cs="Arial"/>
        </w:rPr>
        <w:t xml:space="preserve"> suitable and updated</w:t>
      </w:r>
      <w:r>
        <w:rPr>
          <w:rFonts w:ascii="Arial" w:hAnsi="Arial" w:cs="Arial"/>
        </w:rPr>
        <w:t xml:space="preserve"> databases </w:t>
      </w:r>
      <w:r w:rsidR="00DE46AC" w:rsidRPr="00F93682">
        <w:rPr>
          <w:rFonts w:ascii="Arial" w:hAnsi="Arial" w:cs="Arial"/>
        </w:rPr>
        <w:t>of potential beneficiaries</w:t>
      </w:r>
      <w:r w:rsidR="00DE46AC">
        <w:rPr>
          <w:rFonts w:ascii="Arial" w:hAnsi="Arial" w:cs="Arial"/>
        </w:rPr>
        <w:t>, e.g. with contact details of those participating in info days</w:t>
      </w:r>
      <w:r w:rsidR="00B84798">
        <w:rPr>
          <w:rFonts w:ascii="Arial" w:hAnsi="Arial" w:cs="Arial"/>
        </w:rPr>
        <w:t>,</w:t>
      </w:r>
      <w:r w:rsidR="00DE46AC">
        <w:rPr>
          <w:rFonts w:ascii="Arial" w:hAnsi="Arial" w:cs="Arial"/>
        </w:rPr>
        <w:t xml:space="preserve"> </w:t>
      </w:r>
      <w:r>
        <w:rPr>
          <w:rFonts w:ascii="Arial" w:hAnsi="Arial" w:cs="Arial"/>
        </w:rPr>
        <w:t xml:space="preserve">that can be used for online surveys. </w:t>
      </w:r>
      <w:r w:rsidR="009A257A">
        <w:rPr>
          <w:rFonts w:ascii="Arial" w:hAnsi="Arial" w:cs="Arial"/>
        </w:rPr>
        <w:t xml:space="preserve">Programme </w:t>
      </w:r>
      <w:r w:rsidR="00FA477C">
        <w:rPr>
          <w:rFonts w:ascii="Arial" w:hAnsi="Arial" w:cs="Arial"/>
        </w:rPr>
        <w:t>administrators</w:t>
      </w:r>
      <w:r w:rsidR="009A257A">
        <w:rPr>
          <w:rFonts w:ascii="Arial" w:hAnsi="Arial" w:cs="Arial"/>
        </w:rPr>
        <w:t xml:space="preserve"> should </w:t>
      </w:r>
      <w:r w:rsidR="00DE46AC" w:rsidRPr="00F93682">
        <w:rPr>
          <w:rFonts w:ascii="Arial" w:hAnsi="Arial" w:cs="Arial"/>
        </w:rPr>
        <w:t xml:space="preserve">conduct </w:t>
      </w:r>
      <w:r w:rsidR="00DE46AC">
        <w:rPr>
          <w:rFonts w:ascii="Arial" w:hAnsi="Arial" w:cs="Arial"/>
        </w:rPr>
        <w:t>such surveys for reason</w:t>
      </w:r>
      <w:r w:rsidR="00B84798">
        <w:rPr>
          <w:rFonts w:ascii="Arial" w:hAnsi="Arial" w:cs="Arial"/>
        </w:rPr>
        <w:t>s</w:t>
      </w:r>
      <w:r w:rsidR="00DE46AC">
        <w:rPr>
          <w:rFonts w:ascii="Arial" w:hAnsi="Arial" w:cs="Arial"/>
        </w:rPr>
        <w:t xml:space="preserve"> of ownership, </w:t>
      </w:r>
      <w:r w:rsidR="00DE46AC" w:rsidRPr="00F93682">
        <w:rPr>
          <w:rFonts w:ascii="Arial" w:hAnsi="Arial" w:cs="Arial"/>
        </w:rPr>
        <w:t xml:space="preserve">proximity </w:t>
      </w:r>
      <w:r w:rsidR="00DE46AC">
        <w:rPr>
          <w:rFonts w:ascii="Arial" w:hAnsi="Arial" w:cs="Arial"/>
        </w:rPr>
        <w:t xml:space="preserve">and specificity, with </w:t>
      </w:r>
      <w:r w:rsidR="00B84798">
        <w:rPr>
          <w:rFonts w:ascii="Arial" w:hAnsi="Arial" w:cs="Arial"/>
        </w:rPr>
        <w:t xml:space="preserve">support provided by </w:t>
      </w:r>
      <w:r w:rsidR="00DE46AC">
        <w:rPr>
          <w:rFonts w:ascii="Arial" w:hAnsi="Arial" w:cs="Arial"/>
        </w:rPr>
        <w:t>the CBIB+2 project team.</w:t>
      </w:r>
    </w:p>
    <w:p w:rsidR="00BF1727" w:rsidRDefault="00BF1727" w:rsidP="001B3A34">
      <w:pPr>
        <w:spacing w:after="0" w:line="240" w:lineRule="auto"/>
        <w:jc w:val="both"/>
        <w:rPr>
          <w:rFonts w:ascii="Arial" w:hAnsi="Arial" w:cs="Arial"/>
        </w:rPr>
      </w:pPr>
    </w:p>
    <w:p w:rsidR="00C51C43" w:rsidRDefault="009A257A" w:rsidP="001B3A34">
      <w:pPr>
        <w:spacing w:after="0" w:line="240" w:lineRule="auto"/>
        <w:jc w:val="both"/>
        <w:rPr>
          <w:rFonts w:ascii="Arial" w:hAnsi="Arial" w:cs="Arial"/>
        </w:rPr>
      </w:pPr>
      <w:r>
        <w:rPr>
          <w:rFonts w:ascii="Arial" w:hAnsi="Arial" w:cs="Arial"/>
        </w:rPr>
        <w:t>R</w:t>
      </w:r>
      <w:r w:rsidR="00241028">
        <w:rPr>
          <w:rFonts w:ascii="Arial" w:hAnsi="Arial" w:cs="Arial"/>
        </w:rPr>
        <w:t xml:space="preserve">egional-level surveys could also be considered given the fact that the mailing list used for </w:t>
      </w:r>
      <w:r>
        <w:rPr>
          <w:rFonts w:ascii="Arial" w:hAnsi="Arial" w:cs="Arial"/>
        </w:rPr>
        <w:t xml:space="preserve">the distribution of </w:t>
      </w:r>
      <w:r w:rsidR="00241028">
        <w:rPr>
          <w:rFonts w:ascii="Arial" w:hAnsi="Arial" w:cs="Arial"/>
        </w:rPr>
        <w:t xml:space="preserve">the CBIB+ newsletter already contains </w:t>
      </w:r>
      <w:r w:rsidR="00F93682" w:rsidRPr="00F93682">
        <w:rPr>
          <w:rFonts w:ascii="Arial" w:hAnsi="Arial" w:cs="Arial"/>
        </w:rPr>
        <w:t>thousands of email addresses</w:t>
      </w:r>
      <w:r w:rsidR="00241028">
        <w:rPr>
          <w:rFonts w:ascii="Arial" w:hAnsi="Arial" w:cs="Arial"/>
        </w:rPr>
        <w:t xml:space="preserve">. The mailing </w:t>
      </w:r>
      <w:r w:rsidR="00B84798">
        <w:rPr>
          <w:rFonts w:ascii="Arial" w:hAnsi="Arial" w:cs="Arial"/>
        </w:rPr>
        <w:t xml:space="preserve">list </w:t>
      </w:r>
      <w:r w:rsidR="00241028">
        <w:rPr>
          <w:rFonts w:ascii="Arial" w:hAnsi="Arial" w:cs="Arial"/>
        </w:rPr>
        <w:t xml:space="preserve">is due to </w:t>
      </w:r>
      <w:r w:rsidR="00F93682" w:rsidRPr="00F93682">
        <w:rPr>
          <w:rFonts w:ascii="Arial" w:hAnsi="Arial" w:cs="Arial"/>
        </w:rPr>
        <w:t xml:space="preserve">be updated and upgraded </w:t>
      </w:r>
      <w:r>
        <w:rPr>
          <w:rFonts w:ascii="Arial" w:hAnsi="Arial" w:cs="Arial"/>
        </w:rPr>
        <w:t>during the</w:t>
      </w:r>
      <w:r w:rsidR="00241028">
        <w:rPr>
          <w:rFonts w:ascii="Arial" w:hAnsi="Arial" w:cs="Arial"/>
        </w:rPr>
        <w:t xml:space="preserve"> Phase 2 and</w:t>
      </w:r>
      <w:r w:rsidR="00B84798">
        <w:rPr>
          <w:rFonts w:ascii="Arial" w:hAnsi="Arial" w:cs="Arial"/>
        </w:rPr>
        <w:t>,</w:t>
      </w:r>
      <w:r w:rsidR="00241028">
        <w:rPr>
          <w:rFonts w:ascii="Arial" w:hAnsi="Arial" w:cs="Arial"/>
        </w:rPr>
        <w:t xml:space="preserve"> if information on </w:t>
      </w:r>
      <w:r w:rsidR="00F93682" w:rsidRPr="00F93682">
        <w:rPr>
          <w:rFonts w:ascii="Arial" w:hAnsi="Arial" w:cs="Arial"/>
        </w:rPr>
        <w:t>location and type of organisation</w:t>
      </w:r>
      <w:r w:rsidR="00241028">
        <w:rPr>
          <w:rFonts w:ascii="Arial" w:hAnsi="Arial" w:cs="Arial"/>
        </w:rPr>
        <w:t xml:space="preserve"> were to be added</w:t>
      </w:r>
      <w:r w:rsidR="00B84798">
        <w:rPr>
          <w:rFonts w:ascii="Arial" w:hAnsi="Arial" w:cs="Arial"/>
        </w:rPr>
        <w:t>,</w:t>
      </w:r>
      <w:r w:rsidR="00241028">
        <w:rPr>
          <w:rFonts w:ascii="Arial" w:hAnsi="Arial" w:cs="Arial"/>
        </w:rPr>
        <w:t xml:space="preserve"> it </w:t>
      </w:r>
      <w:r w:rsidR="00F93682" w:rsidRPr="00F93682">
        <w:rPr>
          <w:rFonts w:ascii="Arial" w:hAnsi="Arial" w:cs="Arial"/>
        </w:rPr>
        <w:t xml:space="preserve">would open the possibility of </w:t>
      </w:r>
      <w:r w:rsidR="00F93682">
        <w:rPr>
          <w:rFonts w:ascii="Arial" w:hAnsi="Arial" w:cs="Arial"/>
        </w:rPr>
        <w:t xml:space="preserve">WB-wide </w:t>
      </w:r>
      <w:r w:rsidR="00B84798">
        <w:rPr>
          <w:rFonts w:ascii="Arial" w:hAnsi="Arial" w:cs="Arial"/>
        </w:rPr>
        <w:t>online (</w:t>
      </w:r>
      <w:r w:rsidR="00241028">
        <w:rPr>
          <w:rFonts w:ascii="Arial" w:hAnsi="Arial" w:cs="Arial"/>
        </w:rPr>
        <w:t>sample</w:t>
      </w:r>
      <w:r w:rsidR="00B84798">
        <w:rPr>
          <w:rFonts w:ascii="Arial" w:hAnsi="Arial" w:cs="Arial"/>
        </w:rPr>
        <w:t>)</w:t>
      </w:r>
      <w:r w:rsidR="00241028">
        <w:rPr>
          <w:rFonts w:ascii="Arial" w:hAnsi="Arial" w:cs="Arial"/>
        </w:rPr>
        <w:t xml:space="preserve"> </w:t>
      </w:r>
      <w:r w:rsidR="00F93682">
        <w:rPr>
          <w:rFonts w:ascii="Arial" w:hAnsi="Arial" w:cs="Arial"/>
        </w:rPr>
        <w:t>surveys</w:t>
      </w:r>
      <w:r w:rsidR="00241028">
        <w:rPr>
          <w:rFonts w:ascii="Arial" w:hAnsi="Arial" w:cs="Arial"/>
        </w:rPr>
        <w:t>.</w:t>
      </w:r>
    </w:p>
    <w:p w:rsidR="00BF1727" w:rsidRDefault="00BF1727" w:rsidP="001B3A34">
      <w:pPr>
        <w:spacing w:after="0" w:line="240" w:lineRule="auto"/>
        <w:jc w:val="both"/>
        <w:rPr>
          <w:rFonts w:ascii="Arial" w:hAnsi="Arial" w:cs="Arial"/>
        </w:rPr>
      </w:pPr>
    </w:p>
    <w:p w:rsidR="00F93682" w:rsidRDefault="00DE46AC" w:rsidP="001B3A34">
      <w:pPr>
        <w:spacing w:after="0" w:line="240" w:lineRule="auto"/>
        <w:jc w:val="both"/>
        <w:rPr>
          <w:rFonts w:ascii="Arial" w:hAnsi="Arial" w:cs="Arial"/>
        </w:rPr>
      </w:pPr>
      <w:r>
        <w:rPr>
          <w:rFonts w:ascii="Arial" w:hAnsi="Arial" w:cs="Arial"/>
        </w:rPr>
        <w:t xml:space="preserve">In both cases it would be appropriate to carry out </w:t>
      </w:r>
      <w:r w:rsidR="00F93682">
        <w:rPr>
          <w:rFonts w:ascii="Arial" w:hAnsi="Arial" w:cs="Arial"/>
        </w:rPr>
        <w:t xml:space="preserve">pilot </w:t>
      </w:r>
      <w:r>
        <w:rPr>
          <w:rFonts w:ascii="Arial" w:hAnsi="Arial" w:cs="Arial"/>
        </w:rPr>
        <w:t xml:space="preserve">survey(s) </w:t>
      </w:r>
      <w:r w:rsidR="00F93682">
        <w:rPr>
          <w:rFonts w:ascii="Arial" w:hAnsi="Arial" w:cs="Arial"/>
        </w:rPr>
        <w:t xml:space="preserve">before </w:t>
      </w:r>
      <w:r w:rsidR="00241028">
        <w:rPr>
          <w:rFonts w:ascii="Arial" w:hAnsi="Arial" w:cs="Arial"/>
        </w:rPr>
        <w:t>attempting any</w:t>
      </w:r>
      <w:r>
        <w:rPr>
          <w:rFonts w:ascii="Arial" w:hAnsi="Arial" w:cs="Arial"/>
        </w:rPr>
        <w:t xml:space="preserve"> widespread application.</w:t>
      </w:r>
    </w:p>
    <w:p w:rsidR="00BF1727" w:rsidRDefault="00BF1727" w:rsidP="001B3A34">
      <w:pPr>
        <w:spacing w:after="0" w:line="240" w:lineRule="auto"/>
        <w:jc w:val="both"/>
        <w:rPr>
          <w:rFonts w:ascii="Arial" w:hAnsi="Arial" w:cs="Arial"/>
          <w:b/>
          <w:i/>
        </w:rPr>
      </w:pPr>
    </w:p>
    <w:p w:rsidR="00C51C43" w:rsidRDefault="00C51C43" w:rsidP="001B3A34">
      <w:pPr>
        <w:spacing w:after="0" w:line="240" w:lineRule="auto"/>
        <w:jc w:val="both"/>
        <w:rPr>
          <w:rFonts w:ascii="Arial" w:hAnsi="Arial" w:cs="Arial"/>
          <w:b/>
          <w:i/>
        </w:rPr>
      </w:pPr>
      <w:r w:rsidRPr="00C51C43">
        <w:rPr>
          <w:rFonts w:ascii="Arial" w:hAnsi="Arial" w:cs="Arial"/>
          <w:b/>
          <w:i/>
        </w:rPr>
        <w:t>Opinion polls of local population</w:t>
      </w:r>
    </w:p>
    <w:p w:rsidR="00BF1727" w:rsidRDefault="00BF1727" w:rsidP="001B3A34">
      <w:pPr>
        <w:spacing w:after="0" w:line="240" w:lineRule="auto"/>
        <w:jc w:val="both"/>
        <w:rPr>
          <w:rFonts w:ascii="Arial" w:hAnsi="Arial" w:cs="Arial"/>
        </w:rPr>
      </w:pPr>
    </w:p>
    <w:p w:rsidR="00F93682" w:rsidRDefault="00241028" w:rsidP="001B3A34">
      <w:pPr>
        <w:spacing w:after="0" w:line="240" w:lineRule="auto"/>
        <w:jc w:val="both"/>
        <w:rPr>
          <w:rFonts w:ascii="Arial" w:hAnsi="Arial" w:cs="Arial"/>
        </w:rPr>
      </w:pPr>
      <w:r>
        <w:rPr>
          <w:rFonts w:ascii="Arial" w:hAnsi="Arial" w:cs="Arial"/>
        </w:rPr>
        <w:t xml:space="preserve">Surveys of the local population in the programme area(s) have not been attempted so far </w:t>
      </w:r>
      <w:r w:rsidR="009A257A">
        <w:rPr>
          <w:rFonts w:ascii="Arial" w:hAnsi="Arial" w:cs="Arial"/>
        </w:rPr>
        <w:t xml:space="preserve">either </w:t>
      </w:r>
      <w:r>
        <w:rPr>
          <w:rFonts w:ascii="Arial" w:hAnsi="Arial" w:cs="Arial"/>
        </w:rPr>
        <w:t>by</w:t>
      </w:r>
      <w:r w:rsidR="007A3A5F">
        <w:rPr>
          <w:rFonts w:ascii="Arial" w:hAnsi="Arial" w:cs="Arial"/>
        </w:rPr>
        <w:t xml:space="preserve"> the </w:t>
      </w:r>
      <w:r>
        <w:rPr>
          <w:rFonts w:ascii="Arial" w:hAnsi="Arial" w:cs="Arial"/>
        </w:rPr>
        <w:t>CBIB+</w:t>
      </w:r>
      <w:r w:rsidR="007A3A5F">
        <w:rPr>
          <w:rFonts w:ascii="Arial" w:hAnsi="Arial" w:cs="Arial"/>
        </w:rPr>
        <w:t xml:space="preserve"> or</w:t>
      </w:r>
      <w:r w:rsidR="009A257A">
        <w:rPr>
          <w:rFonts w:ascii="Arial" w:hAnsi="Arial" w:cs="Arial"/>
        </w:rPr>
        <w:t xml:space="preserve"> the </w:t>
      </w:r>
      <w:r w:rsidR="007A3A5F">
        <w:rPr>
          <w:rFonts w:ascii="Arial" w:hAnsi="Arial" w:cs="Arial"/>
        </w:rPr>
        <w:t>individual programme</w:t>
      </w:r>
      <w:r w:rsidR="00FA477C">
        <w:rPr>
          <w:rFonts w:ascii="Arial" w:hAnsi="Arial" w:cs="Arial"/>
        </w:rPr>
        <w:t xml:space="preserve"> administrators</w:t>
      </w:r>
      <w:r>
        <w:rPr>
          <w:rFonts w:ascii="Arial" w:hAnsi="Arial" w:cs="Arial"/>
        </w:rPr>
        <w:t>, but they could prove invalua</w:t>
      </w:r>
      <w:r w:rsidR="007A3A5F">
        <w:rPr>
          <w:rFonts w:ascii="Arial" w:hAnsi="Arial" w:cs="Arial"/>
        </w:rPr>
        <w:t xml:space="preserve">ble especially </w:t>
      </w:r>
      <w:r>
        <w:rPr>
          <w:rFonts w:ascii="Arial" w:hAnsi="Arial" w:cs="Arial"/>
        </w:rPr>
        <w:t xml:space="preserve">in establishing the degree of </w:t>
      </w:r>
      <w:r w:rsidR="00F93682">
        <w:rPr>
          <w:rFonts w:ascii="Arial" w:hAnsi="Arial" w:cs="Arial"/>
        </w:rPr>
        <w:t>awareness</w:t>
      </w:r>
      <w:r>
        <w:rPr>
          <w:rFonts w:ascii="Arial" w:hAnsi="Arial" w:cs="Arial"/>
        </w:rPr>
        <w:t>, getting</w:t>
      </w:r>
      <w:r w:rsidR="00F93682">
        <w:rPr>
          <w:rFonts w:ascii="Arial" w:hAnsi="Arial" w:cs="Arial"/>
        </w:rPr>
        <w:t xml:space="preserve"> fe</w:t>
      </w:r>
      <w:r w:rsidR="007A3A5F">
        <w:rPr>
          <w:rFonts w:ascii="Arial" w:hAnsi="Arial" w:cs="Arial"/>
        </w:rPr>
        <w:t>edback regarding issues that should</w:t>
      </w:r>
      <w:r w:rsidR="000D0E01">
        <w:rPr>
          <w:rFonts w:ascii="Arial" w:hAnsi="Arial" w:cs="Arial"/>
        </w:rPr>
        <w:t xml:space="preserve"> be</w:t>
      </w:r>
      <w:r w:rsidR="00F93682">
        <w:rPr>
          <w:rFonts w:ascii="Arial" w:hAnsi="Arial" w:cs="Arial"/>
        </w:rPr>
        <w:t xml:space="preserve"> addressed by CBC and </w:t>
      </w:r>
      <w:r w:rsidR="007A3A5F">
        <w:rPr>
          <w:rFonts w:ascii="Arial" w:hAnsi="Arial" w:cs="Arial"/>
        </w:rPr>
        <w:t xml:space="preserve">obtaining information on </w:t>
      </w:r>
      <w:r w:rsidR="00F93682">
        <w:rPr>
          <w:rFonts w:ascii="Arial" w:hAnsi="Arial" w:cs="Arial"/>
        </w:rPr>
        <w:t>the likely effectiveness of the programmes</w:t>
      </w:r>
      <w:r w:rsidR="007A3A5F">
        <w:rPr>
          <w:rFonts w:ascii="Arial" w:hAnsi="Arial" w:cs="Arial"/>
        </w:rPr>
        <w:t xml:space="preserve">. The last point could, furthermore, be </w:t>
      </w:r>
      <w:r w:rsidR="00F93682">
        <w:rPr>
          <w:rFonts w:ascii="Arial" w:hAnsi="Arial" w:cs="Arial"/>
        </w:rPr>
        <w:t>link</w:t>
      </w:r>
      <w:r w:rsidR="007A3A5F">
        <w:rPr>
          <w:rFonts w:ascii="Arial" w:hAnsi="Arial" w:cs="Arial"/>
        </w:rPr>
        <w:t>ed to impact assessment.</w:t>
      </w:r>
    </w:p>
    <w:p w:rsidR="00BF1727" w:rsidRDefault="00BF1727" w:rsidP="001B3A34">
      <w:pPr>
        <w:spacing w:after="0" w:line="240" w:lineRule="auto"/>
        <w:jc w:val="both"/>
        <w:rPr>
          <w:rFonts w:ascii="Arial" w:hAnsi="Arial" w:cs="Arial"/>
        </w:rPr>
      </w:pPr>
    </w:p>
    <w:p w:rsidR="00F93682" w:rsidRDefault="007A3A5F" w:rsidP="001B3A34">
      <w:pPr>
        <w:spacing w:after="0" w:line="240" w:lineRule="auto"/>
        <w:jc w:val="both"/>
        <w:rPr>
          <w:rFonts w:ascii="Arial" w:hAnsi="Arial" w:cs="Arial"/>
        </w:rPr>
      </w:pPr>
      <w:r>
        <w:rPr>
          <w:rFonts w:ascii="Arial" w:hAnsi="Arial" w:cs="Arial"/>
        </w:rPr>
        <w:t>Technical and financial issues will have to be considered and resolved before piloting this approach, preferably at programme level for the same reasons as for the surveys of potential beneficiaries. In this case</w:t>
      </w:r>
      <w:r w:rsidR="00B84798">
        <w:rPr>
          <w:rFonts w:ascii="Arial" w:hAnsi="Arial" w:cs="Arial"/>
        </w:rPr>
        <w:t>,</w:t>
      </w:r>
      <w:r>
        <w:rPr>
          <w:rFonts w:ascii="Arial" w:hAnsi="Arial" w:cs="Arial"/>
        </w:rPr>
        <w:t xml:space="preserve"> too, the CBIB+2 project team will be encouraging and supporting the </w:t>
      </w:r>
      <w:r w:rsidR="00B84798">
        <w:rPr>
          <w:rFonts w:ascii="Arial" w:hAnsi="Arial" w:cs="Arial"/>
        </w:rPr>
        <w:t>OS</w:t>
      </w:r>
      <w:r>
        <w:rPr>
          <w:rFonts w:ascii="Arial" w:hAnsi="Arial" w:cs="Arial"/>
        </w:rPr>
        <w:t xml:space="preserve">s and JTSs. </w:t>
      </w:r>
    </w:p>
    <w:p w:rsidR="00F93682" w:rsidRDefault="00F93682" w:rsidP="001B3A34">
      <w:pPr>
        <w:spacing w:after="0" w:line="240" w:lineRule="auto"/>
        <w:rPr>
          <w:rFonts w:ascii="Arial" w:hAnsi="Arial" w:cs="Arial"/>
          <w:b/>
          <w:i/>
        </w:rPr>
      </w:pPr>
    </w:p>
    <w:p w:rsidR="00BF1727" w:rsidRDefault="00BF1727" w:rsidP="001B3A34">
      <w:pPr>
        <w:spacing w:after="0" w:line="240" w:lineRule="auto"/>
        <w:rPr>
          <w:rFonts w:ascii="Arial" w:hAnsi="Arial" w:cs="Arial"/>
          <w:b/>
          <w:i/>
        </w:rPr>
      </w:pPr>
    </w:p>
    <w:p w:rsidR="00E66891" w:rsidRPr="00A60206" w:rsidRDefault="00383948" w:rsidP="001B3A34">
      <w:pPr>
        <w:pStyle w:val="Heading1"/>
        <w:spacing w:before="0" w:line="240" w:lineRule="auto"/>
      </w:pPr>
      <w:bookmarkStart w:id="7" w:name="_Toc465088533"/>
      <w:r>
        <w:t>5</w:t>
      </w:r>
      <w:r w:rsidR="001B3A34">
        <w:t xml:space="preserve">. </w:t>
      </w:r>
      <w:r w:rsidR="00A60206" w:rsidRPr="00A60206">
        <w:t xml:space="preserve">Mechanisms </w:t>
      </w:r>
      <w:r w:rsidR="00816952">
        <w:t xml:space="preserve">and priorities </w:t>
      </w:r>
      <w:r w:rsidR="00A60206" w:rsidRPr="00A60206">
        <w:t>for sharing and</w:t>
      </w:r>
      <w:r w:rsidR="00E66891" w:rsidRPr="00A60206">
        <w:t xml:space="preserve"> disseminating</w:t>
      </w:r>
      <w:bookmarkEnd w:id="7"/>
    </w:p>
    <w:p w:rsidR="001B3A34" w:rsidRDefault="001B3A34" w:rsidP="001B3A34">
      <w:pPr>
        <w:spacing w:after="0" w:line="240" w:lineRule="auto"/>
        <w:rPr>
          <w:rFonts w:ascii="Arial" w:hAnsi="Arial" w:cs="Arial"/>
          <w:b/>
        </w:rPr>
      </w:pPr>
    </w:p>
    <w:p w:rsidR="00B00732" w:rsidRPr="00AF497F" w:rsidRDefault="00383948" w:rsidP="001B3A34">
      <w:pPr>
        <w:pStyle w:val="Heading2"/>
        <w:spacing w:before="0" w:line="240" w:lineRule="auto"/>
      </w:pPr>
      <w:bookmarkStart w:id="8" w:name="_Toc465088534"/>
      <w:r>
        <w:t>5</w:t>
      </w:r>
      <w:r w:rsidR="00A60206" w:rsidRPr="00AF497F">
        <w:t>.1</w:t>
      </w:r>
      <w:r w:rsidR="00A60206" w:rsidRPr="00AF497F">
        <w:tab/>
      </w:r>
      <w:r w:rsidR="00B00732" w:rsidRPr="00AF497F">
        <w:t>Technical Working Group</w:t>
      </w:r>
      <w:bookmarkEnd w:id="8"/>
      <w:r w:rsidR="00B00732" w:rsidRPr="00AF497F">
        <w:t xml:space="preserve"> </w:t>
      </w:r>
    </w:p>
    <w:p w:rsidR="001B3A34" w:rsidRDefault="001B3A34" w:rsidP="001B3A34">
      <w:pPr>
        <w:spacing w:after="0" w:line="240" w:lineRule="auto"/>
        <w:jc w:val="both"/>
        <w:rPr>
          <w:rFonts w:ascii="Arial" w:hAnsi="Arial" w:cs="Arial"/>
        </w:rPr>
      </w:pPr>
    </w:p>
    <w:p w:rsidR="0033672A" w:rsidRDefault="0033672A" w:rsidP="001B3A34">
      <w:pPr>
        <w:spacing w:after="0" w:line="240" w:lineRule="auto"/>
        <w:jc w:val="both"/>
        <w:rPr>
          <w:rFonts w:ascii="Arial" w:hAnsi="Arial" w:cs="Arial"/>
        </w:rPr>
      </w:pPr>
      <w:r>
        <w:rPr>
          <w:rFonts w:ascii="Arial" w:hAnsi="Arial" w:cs="Arial"/>
        </w:rPr>
        <w:t xml:space="preserve">A range of tools will be available for capturing, distilling and disseminating lessons and other relevant knowledge, and for fostering synergies between </w:t>
      </w:r>
      <w:r w:rsidR="008E3555">
        <w:rPr>
          <w:rFonts w:ascii="Arial" w:hAnsi="Arial" w:cs="Arial"/>
        </w:rPr>
        <w:t xml:space="preserve">projects, </w:t>
      </w:r>
      <w:r>
        <w:rPr>
          <w:rFonts w:ascii="Arial" w:hAnsi="Arial" w:cs="Arial"/>
        </w:rPr>
        <w:t>programmes and stakeholders. This whole process will require clear guidance and legitimacy, and for th</w:t>
      </w:r>
      <w:r w:rsidR="009A257A">
        <w:rPr>
          <w:rFonts w:ascii="Arial" w:hAnsi="Arial" w:cs="Arial"/>
        </w:rPr>
        <w:t>is</w:t>
      </w:r>
      <w:r>
        <w:rPr>
          <w:rFonts w:ascii="Arial" w:hAnsi="Arial" w:cs="Arial"/>
        </w:rPr>
        <w:t xml:space="preserve"> reason it is envisaged that a Technical Working Group</w:t>
      </w:r>
      <w:r w:rsidR="009C33D0">
        <w:rPr>
          <w:rFonts w:ascii="Arial" w:hAnsi="Arial" w:cs="Arial"/>
        </w:rPr>
        <w:t xml:space="preserve"> (TWG)</w:t>
      </w:r>
      <w:r>
        <w:rPr>
          <w:rFonts w:ascii="Arial" w:hAnsi="Arial" w:cs="Arial"/>
        </w:rPr>
        <w:t xml:space="preserve"> </w:t>
      </w:r>
      <w:r w:rsidR="002B6CD2">
        <w:rPr>
          <w:rFonts w:ascii="Arial" w:hAnsi="Arial" w:cs="Arial"/>
        </w:rPr>
        <w:t>should be assigned the</w:t>
      </w:r>
      <w:r w:rsidR="00816952">
        <w:rPr>
          <w:rFonts w:ascii="Arial" w:hAnsi="Arial" w:cs="Arial"/>
        </w:rPr>
        <w:t xml:space="preserve"> role of facilitator </w:t>
      </w:r>
      <w:r w:rsidR="002B6CD2">
        <w:rPr>
          <w:rFonts w:ascii="Arial" w:hAnsi="Arial" w:cs="Arial"/>
        </w:rPr>
        <w:t xml:space="preserve">and catalyst </w:t>
      </w:r>
      <w:r>
        <w:rPr>
          <w:rFonts w:ascii="Arial" w:hAnsi="Arial" w:cs="Arial"/>
        </w:rPr>
        <w:t>for the implementation of this strategy</w:t>
      </w:r>
      <w:r w:rsidR="009C33D0">
        <w:rPr>
          <w:rFonts w:ascii="Arial" w:hAnsi="Arial" w:cs="Arial"/>
        </w:rPr>
        <w:t>. The TWG will</w:t>
      </w:r>
      <w:r w:rsidR="002B6CD2">
        <w:rPr>
          <w:rFonts w:ascii="Arial" w:hAnsi="Arial" w:cs="Arial"/>
        </w:rPr>
        <w:t xml:space="preserve"> focus on:</w:t>
      </w:r>
    </w:p>
    <w:p w:rsidR="00BF1727" w:rsidRDefault="00BF1727" w:rsidP="001B3A34">
      <w:pPr>
        <w:spacing w:after="0" w:line="240" w:lineRule="auto"/>
        <w:jc w:val="both"/>
        <w:rPr>
          <w:rFonts w:ascii="Arial" w:hAnsi="Arial" w:cs="Arial"/>
        </w:rPr>
      </w:pPr>
    </w:p>
    <w:p w:rsidR="00900457" w:rsidRDefault="00900457" w:rsidP="001B3A34">
      <w:pPr>
        <w:pStyle w:val="ListParagraph"/>
        <w:numPr>
          <w:ilvl w:val="0"/>
          <w:numId w:val="24"/>
        </w:numPr>
        <w:spacing w:after="0" w:line="240" w:lineRule="auto"/>
        <w:jc w:val="both"/>
        <w:rPr>
          <w:rFonts w:ascii="Arial" w:hAnsi="Arial" w:cs="Arial"/>
        </w:rPr>
      </w:pPr>
      <w:r>
        <w:rPr>
          <w:rFonts w:ascii="Arial" w:hAnsi="Arial" w:cs="Arial"/>
        </w:rPr>
        <w:t>defining the thematic</w:t>
      </w:r>
      <w:r w:rsidR="00B702B5">
        <w:rPr>
          <w:rFonts w:ascii="Arial" w:hAnsi="Arial" w:cs="Arial"/>
        </w:rPr>
        <w:t xml:space="preserve"> areas</w:t>
      </w:r>
      <w:r>
        <w:rPr>
          <w:rFonts w:ascii="Arial" w:hAnsi="Arial" w:cs="Arial"/>
        </w:rPr>
        <w:t xml:space="preserve"> and issues to be addressed;</w:t>
      </w:r>
    </w:p>
    <w:p w:rsidR="00900457" w:rsidRDefault="00900457" w:rsidP="001B3A34">
      <w:pPr>
        <w:pStyle w:val="ListParagraph"/>
        <w:numPr>
          <w:ilvl w:val="0"/>
          <w:numId w:val="24"/>
        </w:numPr>
        <w:spacing w:after="0" w:line="240" w:lineRule="auto"/>
        <w:jc w:val="both"/>
        <w:rPr>
          <w:rFonts w:ascii="Arial" w:hAnsi="Arial" w:cs="Arial"/>
        </w:rPr>
      </w:pPr>
      <w:r>
        <w:rPr>
          <w:rFonts w:ascii="Arial" w:hAnsi="Arial" w:cs="Arial"/>
        </w:rPr>
        <w:t>making recommendations regarding the use of different sources of lessons and dissemination tools;</w:t>
      </w:r>
    </w:p>
    <w:p w:rsidR="00900457" w:rsidRDefault="00900457" w:rsidP="001B3A34">
      <w:pPr>
        <w:pStyle w:val="ListParagraph"/>
        <w:numPr>
          <w:ilvl w:val="0"/>
          <w:numId w:val="24"/>
        </w:numPr>
        <w:spacing w:after="0" w:line="240" w:lineRule="auto"/>
        <w:jc w:val="both"/>
        <w:rPr>
          <w:rFonts w:ascii="Arial" w:hAnsi="Arial" w:cs="Arial"/>
        </w:rPr>
      </w:pPr>
      <w:r>
        <w:rPr>
          <w:rFonts w:ascii="Arial" w:hAnsi="Arial" w:cs="Arial"/>
        </w:rPr>
        <w:t>distilling key lessons and key messages on a regular basis;</w:t>
      </w:r>
    </w:p>
    <w:p w:rsidR="00900457" w:rsidRPr="00900457" w:rsidRDefault="00900457" w:rsidP="001B3A34">
      <w:pPr>
        <w:pStyle w:val="ListParagraph"/>
        <w:numPr>
          <w:ilvl w:val="0"/>
          <w:numId w:val="24"/>
        </w:numPr>
        <w:spacing w:after="0" w:line="240" w:lineRule="auto"/>
        <w:jc w:val="both"/>
        <w:rPr>
          <w:rFonts w:ascii="Arial" w:hAnsi="Arial" w:cs="Arial"/>
        </w:rPr>
      </w:pPr>
      <w:r>
        <w:rPr>
          <w:rFonts w:ascii="Arial" w:hAnsi="Arial" w:cs="Arial"/>
        </w:rPr>
        <w:t xml:space="preserve">reviewing the strategy and contributing to its updating. </w:t>
      </w:r>
    </w:p>
    <w:p w:rsidR="00BF1727" w:rsidRDefault="00BF1727" w:rsidP="001B3A34">
      <w:pPr>
        <w:spacing w:after="0" w:line="240" w:lineRule="auto"/>
        <w:jc w:val="both"/>
        <w:rPr>
          <w:rFonts w:ascii="Arial" w:hAnsi="Arial" w:cs="Arial"/>
        </w:rPr>
      </w:pPr>
    </w:p>
    <w:p w:rsidR="0033672A" w:rsidRDefault="00816952" w:rsidP="001B3A34">
      <w:pPr>
        <w:spacing w:after="0" w:line="240" w:lineRule="auto"/>
        <w:jc w:val="both"/>
        <w:rPr>
          <w:rFonts w:ascii="Arial" w:hAnsi="Arial" w:cs="Arial"/>
        </w:rPr>
      </w:pPr>
      <w:r>
        <w:rPr>
          <w:rFonts w:ascii="Arial" w:hAnsi="Arial" w:cs="Arial"/>
        </w:rPr>
        <w:t>Practical arrangements for the setting up and operation of the TWG should take into account the creation of different TWGs under CBIB+2 and their relationship with the Regional Forum, and will need to remain flexible and adaptable during the period of project implementation. For instance, the TWG could also cover impact assessment methodology. In any case, its</w:t>
      </w:r>
      <w:r w:rsidR="0033672A">
        <w:rPr>
          <w:rFonts w:ascii="Arial" w:hAnsi="Arial" w:cs="Arial"/>
        </w:rPr>
        <w:t xml:space="preserve"> membership </w:t>
      </w:r>
      <w:r>
        <w:rPr>
          <w:rFonts w:ascii="Arial" w:hAnsi="Arial" w:cs="Arial"/>
        </w:rPr>
        <w:t xml:space="preserve">should </w:t>
      </w:r>
      <w:r w:rsidR="0033672A">
        <w:rPr>
          <w:rFonts w:ascii="Arial" w:hAnsi="Arial" w:cs="Arial"/>
        </w:rPr>
        <w:t xml:space="preserve">be drawn from </w:t>
      </w:r>
      <w:r w:rsidR="00900457">
        <w:rPr>
          <w:rFonts w:ascii="Arial" w:hAnsi="Arial" w:cs="Arial"/>
        </w:rPr>
        <w:t xml:space="preserve">the key stakeholder organisations, and in order to ensure </w:t>
      </w:r>
      <w:r w:rsidR="00900457">
        <w:rPr>
          <w:rFonts w:ascii="Arial" w:hAnsi="Arial" w:cs="Arial"/>
        </w:rPr>
        <w:lastRenderedPageBreak/>
        <w:t>efficiency and clarity</w:t>
      </w:r>
      <w:r w:rsidR="008E3555">
        <w:rPr>
          <w:rFonts w:ascii="Arial" w:hAnsi="Arial" w:cs="Arial"/>
        </w:rPr>
        <w:t>,</w:t>
      </w:r>
      <w:r w:rsidR="00900457">
        <w:rPr>
          <w:rFonts w:ascii="Arial" w:hAnsi="Arial" w:cs="Arial"/>
        </w:rPr>
        <w:t xml:space="preserve"> it could establish ‘thematic poles’ or assign ‘lead roles’ to its members for specific thematic areas or issues. </w:t>
      </w:r>
    </w:p>
    <w:p w:rsidR="001B3A34" w:rsidRDefault="001B3A34" w:rsidP="001B3A34">
      <w:pPr>
        <w:pStyle w:val="Heading2"/>
        <w:spacing w:before="0" w:line="240" w:lineRule="auto"/>
      </w:pPr>
    </w:p>
    <w:p w:rsidR="00A60206" w:rsidRPr="00AF497F" w:rsidRDefault="00383948" w:rsidP="001B3A34">
      <w:pPr>
        <w:pStyle w:val="Heading2"/>
        <w:spacing w:before="0" w:line="240" w:lineRule="auto"/>
      </w:pPr>
      <w:bookmarkStart w:id="9" w:name="_Toc465088535"/>
      <w:r>
        <w:t>5</w:t>
      </w:r>
      <w:r w:rsidR="00A60206" w:rsidRPr="00AF497F">
        <w:t>.2</w:t>
      </w:r>
      <w:r w:rsidR="00A60206" w:rsidRPr="00AF497F">
        <w:tab/>
        <w:t>Sharing and dissemination tools</w:t>
      </w:r>
      <w:bookmarkEnd w:id="9"/>
      <w:r w:rsidR="00A60206" w:rsidRPr="00AF497F">
        <w:t xml:space="preserve"> </w:t>
      </w:r>
    </w:p>
    <w:p w:rsidR="001B3A34" w:rsidRDefault="001B3A34" w:rsidP="001B3A34">
      <w:pPr>
        <w:spacing w:after="0" w:line="240" w:lineRule="auto"/>
        <w:jc w:val="both"/>
        <w:rPr>
          <w:rFonts w:ascii="Arial" w:hAnsi="Arial" w:cs="Arial"/>
        </w:rPr>
      </w:pPr>
    </w:p>
    <w:p w:rsidR="003448B1" w:rsidRPr="00133A62" w:rsidRDefault="00962E70" w:rsidP="001B3A34">
      <w:pPr>
        <w:spacing w:after="0" w:line="240" w:lineRule="auto"/>
        <w:jc w:val="both"/>
        <w:rPr>
          <w:rFonts w:ascii="Arial" w:hAnsi="Arial" w:cs="Arial"/>
        </w:rPr>
      </w:pPr>
      <w:r w:rsidRPr="00133A62">
        <w:rPr>
          <w:rFonts w:ascii="Arial" w:hAnsi="Arial" w:cs="Arial"/>
        </w:rPr>
        <w:t xml:space="preserve">The project should make full use of established tools available since Phase 1, such as the </w:t>
      </w:r>
      <w:r w:rsidR="003448B1" w:rsidRPr="00133A62">
        <w:rPr>
          <w:rFonts w:ascii="Arial" w:hAnsi="Arial" w:cs="Arial"/>
        </w:rPr>
        <w:t xml:space="preserve">CBC </w:t>
      </w:r>
      <w:r w:rsidRPr="00133A62">
        <w:rPr>
          <w:rFonts w:ascii="Arial" w:hAnsi="Arial" w:cs="Arial"/>
        </w:rPr>
        <w:t xml:space="preserve">Regional </w:t>
      </w:r>
      <w:r w:rsidR="003448B1" w:rsidRPr="00133A62">
        <w:rPr>
          <w:rFonts w:ascii="Arial" w:hAnsi="Arial" w:cs="Arial"/>
        </w:rPr>
        <w:t xml:space="preserve">Forum and the CBIB+ website. Additionally, </w:t>
      </w:r>
      <w:r w:rsidRPr="00133A62">
        <w:rPr>
          <w:rFonts w:ascii="Arial" w:hAnsi="Arial" w:cs="Arial"/>
        </w:rPr>
        <w:t xml:space="preserve">other possibilities should be explored to ensure that all target groups can be reached effectively and feedback </w:t>
      </w:r>
      <w:r w:rsidR="003448B1" w:rsidRPr="00133A62">
        <w:rPr>
          <w:rFonts w:ascii="Arial" w:hAnsi="Arial" w:cs="Arial"/>
        </w:rPr>
        <w:t xml:space="preserve">is </w:t>
      </w:r>
      <w:r w:rsidRPr="00133A62">
        <w:rPr>
          <w:rFonts w:ascii="Arial" w:hAnsi="Arial" w:cs="Arial"/>
        </w:rPr>
        <w:t xml:space="preserve">obtained and valorised. </w:t>
      </w:r>
    </w:p>
    <w:p w:rsidR="00B1700F" w:rsidRDefault="00B1700F" w:rsidP="001B3A34">
      <w:pPr>
        <w:spacing w:after="0" w:line="240" w:lineRule="auto"/>
        <w:jc w:val="both"/>
        <w:rPr>
          <w:rFonts w:ascii="Arial" w:hAnsi="Arial" w:cs="Arial"/>
        </w:rPr>
      </w:pPr>
    </w:p>
    <w:p w:rsidR="00962E70" w:rsidRPr="00133A62" w:rsidRDefault="00962E70" w:rsidP="001B3A34">
      <w:pPr>
        <w:spacing w:after="0" w:line="240" w:lineRule="auto"/>
        <w:jc w:val="both"/>
        <w:rPr>
          <w:rFonts w:ascii="Arial" w:hAnsi="Arial" w:cs="Arial"/>
        </w:rPr>
      </w:pPr>
      <w:r w:rsidRPr="00133A62">
        <w:rPr>
          <w:rFonts w:ascii="Arial" w:hAnsi="Arial" w:cs="Arial"/>
        </w:rPr>
        <w:t xml:space="preserve">Overall, the range and efficacy of the tools will need to be kept under review by the CBIB+2 team and the TWG, and adjustments are expected to be made throughout the implementation period (see Section 6). </w:t>
      </w:r>
    </w:p>
    <w:p w:rsidR="00B1700F" w:rsidRDefault="00B1700F" w:rsidP="001B3A34">
      <w:pPr>
        <w:spacing w:after="0" w:line="240" w:lineRule="auto"/>
        <w:jc w:val="both"/>
        <w:rPr>
          <w:rFonts w:ascii="Arial" w:hAnsi="Arial" w:cs="Arial"/>
          <w:b/>
          <w:i/>
        </w:rPr>
      </w:pPr>
    </w:p>
    <w:p w:rsidR="00A60206" w:rsidRPr="00133A62" w:rsidRDefault="003448B1" w:rsidP="001B3A34">
      <w:pPr>
        <w:spacing w:after="0" w:line="240" w:lineRule="auto"/>
        <w:jc w:val="both"/>
        <w:rPr>
          <w:rFonts w:ascii="Arial" w:hAnsi="Arial" w:cs="Arial"/>
          <w:b/>
          <w:i/>
        </w:rPr>
      </w:pPr>
      <w:r w:rsidRPr="00133A62">
        <w:rPr>
          <w:rFonts w:ascii="Arial" w:hAnsi="Arial" w:cs="Arial"/>
          <w:b/>
          <w:i/>
        </w:rPr>
        <w:t xml:space="preserve">CBC </w:t>
      </w:r>
      <w:r w:rsidR="00A60206" w:rsidRPr="00133A62">
        <w:rPr>
          <w:rFonts w:ascii="Arial" w:hAnsi="Arial" w:cs="Arial"/>
          <w:b/>
          <w:i/>
        </w:rPr>
        <w:t>Regional Forum</w:t>
      </w:r>
    </w:p>
    <w:p w:rsidR="00B1700F" w:rsidRDefault="00B1700F" w:rsidP="001B3A34">
      <w:pPr>
        <w:spacing w:after="0" w:line="240" w:lineRule="auto"/>
        <w:jc w:val="both"/>
        <w:rPr>
          <w:rFonts w:ascii="Arial" w:hAnsi="Arial" w:cs="Arial"/>
        </w:rPr>
      </w:pPr>
    </w:p>
    <w:p w:rsidR="00B656B7" w:rsidRPr="00133A62" w:rsidRDefault="003448B1" w:rsidP="001B3A34">
      <w:pPr>
        <w:spacing w:after="0" w:line="240" w:lineRule="auto"/>
        <w:jc w:val="both"/>
        <w:rPr>
          <w:rFonts w:ascii="Arial" w:hAnsi="Arial" w:cs="Arial"/>
        </w:rPr>
      </w:pPr>
      <w:r w:rsidRPr="00133A62">
        <w:rPr>
          <w:rFonts w:ascii="Arial" w:hAnsi="Arial" w:cs="Arial"/>
        </w:rPr>
        <w:t xml:space="preserve">This is the central forum for key stakeholders from all IPA CBC </w:t>
      </w:r>
      <w:r w:rsidR="00B656B7" w:rsidRPr="00133A62">
        <w:rPr>
          <w:rFonts w:ascii="Arial" w:hAnsi="Arial" w:cs="Arial"/>
        </w:rPr>
        <w:t>programmes</w:t>
      </w:r>
      <w:r w:rsidRPr="00133A62">
        <w:rPr>
          <w:rFonts w:ascii="Arial" w:hAnsi="Arial" w:cs="Arial"/>
        </w:rPr>
        <w:t xml:space="preserve"> and can </w:t>
      </w:r>
      <w:r w:rsidR="00A55825" w:rsidRPr="00133A62">
        <w:rPr>
          <w:rFonts w:ascii="Arial" w:hAnsi="Arial" w:cs="Arial"/>
        </w:rPr>
        <w:t>play a crucial role,</w:t>
      </w:r>
      <w:r w:rsidR="00B656B7" w:rsidRPr="00133A62">
        <w:rPr>
          <w:rFonts w:ascii="Arial" w:hAnsi="Arial" w:cs="Arial"/>
        </w:rPr>
        <w:t xml:space="preserve"> including:</w:t>
      </w:r>
      <w:r w:rsidR="00A55825" w:rsidRPr="00133A62">
        <w:rPr>
          <w:rFonts w:ascii="Arial" w:hAnsi="Arial" w:cs="Arial"/>
        </w:rPr>
        <w:t xml:space="preserve"> receiving and debating reports on key lessons</w:t>
      </w:r>
      <w:r w:rsidR="00B656B7" w:rsidRPr="00133A62">
        <w:rPr>
          <w:rFonts w:ascii="Arial" w:hAnsi="Arial" w:cs="Arial"/>
        </w:rPr>
        <w:t xml:space="preserve">; reviewing </w:t>
      </w:r>
      <w:r w:rsidR="00A55825" w:rsidRPr="00133A62">
        <w:rPr>
          <w:rFonts w:ascii="Arial" w:hAnsi="Arial" w:cs="Arial"/>
        </w:rPr>
        <w:t xml:space="preserve">strategy </w:t>
      </w:r>
      <w:r w:rsidR="00B656B7" w:rsidRPr="00133A62">
        <w:rPr>
          <w:rFonts w:ascii="Arial" w:hAnsi="Arial" w:cs="Arial"/>
        </w:rPr>
        <w:t xml:space="preserve">implementation/adaptation; and fostering synergies. </w:t>
      </w:r>
      <w:r w:rsidR="00A55825" w:rsidRPr="00133A62">
        <w:rPr>
          <w:rFonts w:ascii="Arial" w:hAnsi="Arial" w:cs="Arial"/>
        </w:rPr>
        <w:t>This forum has already been used for similar debates in Phase 1</w:t>
      </w:r>
      <w:r w:rsidR="00B1700F">
        <w:rPr>
          <w:rFonts w:ascii="Arial" w:hAnsi="Arial" w:cs="Arial"/>
        </w:rPr>
        <w:t>, when</w:t>
      </w:r>
      <w:r w:rsidR="0079155B">
        <w:rPr>
          <w:rFonts w:ascii="Arial" w:hAnsi="Arial" w:cs="Arial"/>
        </w:rPr>
        <w:t xml:space="preserve"> it</w:t>
      </w:r>
      <w:r w:rsidR="00B656B7" w:rsidRPr="00133A62">
        <w:rPr>
          <w:rStyle w:val="FootnoteReference"/>
          <w:rFonts w:ascii="Arial" w:hAnsi="Arial" w:cs="Arial"/>
          <w:sz w:val="18"/>
        </w:rPr>
        <w:footnoteReference w:id="13"/>
      </w:r>
      <w:r w:rsidR="00B656B7" w:rsidRPr="00133A62">
        <w:rPr>
          <w:rFonts w:ascii="Arial" w:hAnsi="Arial" w:cs="Arial"/>
        </w:rPr>
        <w:t xml:space="preserve"> </w:t>
      </w:r>
      <w:r w:rsidR="005F679C">
        <w:rPr>
          <w:rFonts w:ascii="Arial" w:hAnsi="Arial" w:cs="Arial"/>
        </w:rPr>
        <w:t xml:space="preserve">has proven to be </w:t>
      </w:r>
      <w:r w:rsidR="00C41385">
        <w:rPr>
          <w:rFonts w:ascii="Arial" w:hAnsi="Arial" w:cs="Arial"/>
        </w:rPr>
        <w:t xml:space="preserve">a very </w:t>
      </w:r>
      <w:r w:rsidR="005F679C">
        <w:rPr>
          <w:rFonts w:ascii="Arial" w:hAnsi="Arial" w:cs="Arial"/>
        </w:rPr>
        <w:t>useful platform for discussing issues of regional importance linked to the upcoming steps in programmes implementation as well as</w:t>
      </w:r>
      <w:r w:rsidR="00B656B7" w:rsidRPr="00133A62">
        <w:rPr>
          <w:rFonts w:ascii="Arial" w:hAnsi="Arial" w:cs="Arial"/>
        </w:rPr>
        <w:t xml:space="preserve"> ‘</w:t>
      </w:r>
      <w:r w:rsidR="0079155B">
        <w:rPr>
          <w:rFonts w:ascii="Arial" w:hAnsi="Arial" w:cs="Arial"/>
        </w:rPr>
        <w:t>s</w:t>
      </w:r>
      <w:r w:rsidR="00B656B7" w:rsidRPr="00133A62">
        <w:rPr>
          <w:rFonts w:ascii="Arial" w:hAnsi="Arial" w:cs="Arial"/>
        </w:rPr>
        <w:t>pin-off effects, impacts and visibility’.</w:t>
      </w:r>
    </w:p>
    <w:p w:rsidR="00B1700F" w:rsidRDefault="00B1700F" w:rsidP="001B3A34">
      <w:pPr>
        <w:spacing w:after="0" w:line="240" w:lineRule="auto"/>
        <w:jc w:val="both"/>
        <w:rPr>
          <w:rFonts w:ascii="Arial" w:hAnsi="Arial" w:cs="Arial"/>
        </w:rPr>
      </w:pPr>
    </w:p>
    <w:p w:rsidR="00B656B7" w:rsidRPr="00133A62" w:rsidRDefault="00B656B7" w:rsidP="001B3A34">
      <w:pPr>
        <w:spacing w:after="0" w:line="240" w:lineRule="auto"/>
        <w:jc w:val="both"/>
        <w:rPr>
          <w:rFonts w:ascii="Arial" w:hAnsi="Arial" w:cs="Arial"/>
        </w:rPr>
      </w:pPr>
      <w:r w:rsidRPr="00133A62">
        <w:rPr>
          <w:rFonts w:ascii="Arial" w:hAnsi="Arial" w:cs="Arial"/>
        </w:rPr>
        <w:t>In terms of target groups, the CBC Regional Forum would be</w:t>
      </w:r>
      <w:r w:rsidR="00133A62" w:rsidRPr="00133A62">
        <w:rPr>
          <w:rFonts w:ascii="Arial" w:hAnsi="Arial" w:cs="Arial"/>
        </w:rPr>
        <w:t xml:space="preserve"> strongly focused on</w:t>
      </w:r>
      <w:r w:rsidRPr="00133A62">
        <w:rPr>
          <w:rFonts w:ascii="Arial" w:hAnsi="Arial" w:cs="Arial"/>
        </w:rPr>
        <w:t xml:space="preserve"> programme administrators. </w:t>
      </w:r>
    </w:p>
    <w:p w:rsidR="00B1700F" w:rsidRDefault="00B1700F" w:rsidP="001B3A34">
      <w:pPr>
        <w:spacing w:after="0" w:line="240" w:lineRule="auto"/>
        <w:jc w:val="both"/>
        <w:rPr>
          <w:rFonts w:ascii="Arial" w:hAnsi="Arial" w:cs="Arial"/>
          <w:b/>
          <w:i/>
        </w:rPr>
      </w:pPr>
    </w:p>
    <w:p w:rsidR="00A60206" w:rsidRPr="00133A62" w:rsidRDefault="00A60206" w:rsidP="001B3A34">
      <w:pPr>
        <w:spacing w:after="0" w:line="240" w:lineRule="auto"/>
        <w:jc w:val="both"/>
        <w:rPr>
          <w:rFonts w:ascii="Arial" w:hAnsi="Arial" w:cs="Arial"/>
          <w:b/>
          <w:i/>
        </w:rPr>
      </w:pPr>
      <w:r w:rsidRPr="00133A62">
        <w:rPr>
          <w:rFonts w:ascii="Arial" w:hAnsi="Arial" w:cs="Arial"/>
          <w:b/>
          <w:i/>
        </w:rPr>
        <w:t>Website</w:t>
      </w:r>
    </w:p>
    <w:p w:rsidR="0079155B" w:rsidRDefault="0079155B" w:rsidP="001B3A34">
      <w:pPr>
        <w:spacing w:after="0" w:line="240" w:lineRule="auto"/>
        <w:jc w:val="both"/>
        <w:rPr>
          <w:rFonts w:ascii="Arial" w:hAnsi="Arial" w:cs="Arial"/>
        </w:rPr>
      </w:pPr>
    </w:p>
    <w:p w:rsidR="00A60206" w:rsidRPr="00133A62" w:rsidRDefault="00B656B7" w:rsidP="001B3A34">
      <w:pPr>
        <w:spacing w:after="0" w:line="240" w:lineRule="auto"/>
        <w:jc w:val="both"/>
        <w:rPr>
          <w:rFonts w:ascii="Arial" w:hAnsi="Arial" w:cs="Arial"/>
        </w:rPr>
      </w:pPr>
      <w:r w:rsidRPr="00133A62">
        <w:rPr>
          <w:rFonts w:ascii="Arial" w:hAnsi="Arial" w:cs="Arial"/>
        </w:rPr>
        <w:t>The ‘</w:t>
      </w:r>
      <w:proofErr w:type="spellStart"/>
      <w:r w:rsidRPr="00133A62">
        <w:rPr>
          <w:rFonts w:ascii="Arial" w:hAnsi="Arial" w:cs="Arial"/>
        </w:rPr>
        <w:t>CBIBplus</w:t>
      </w:r>
      <w:proofErr w:type="spellEnd"/>
      <w:r w:rsidRPr="00133A62">
        <w:rPr>
          <w:rFonts w:ascii="Arial" w:hAnsi="Arial" w:cs="Arial"/>
        </w:rPr>
        <w:t xml:space="preserve">’ website </w:t>
      </w:r>
      <w:r w:rsidR="00FA477C">
        <w:rPr>
          <w:rFonts w:ascii="Arial" w:hAnsi="Arial" w:cs="Arial"/>
        </w:rPr>
        <w:t>(</w:t>
      </w:r>
      <w:hyperlink r:id="rId11" w:history="1">
        <w:r w:rsidR="00FA477C" w:rsidRPr="00047BB2">
          <w:rPr>
            <w:rStyle w:val="Hyperlink"/>
            <w:rFonts w:ascii="Arial" w:hAnsi="Arial" w:cs="Arial"/>
          </w:rPr>
          <w:t>http://www.cbibplus.eu/</w:t>
        </w:r>
      </w:hyperlink>
      <w:r w:rsidR="00FA477C">
        <w:rPr>
          <w:rFonts w:ascii="Arial" w:hAnsi="Arial" w:cs="Arial"/>
        </w:rPr>
        <w:t xml:space="preserve">) </w:t>
      </w:r>
      <w:r w:rsidRPr="00133A62">
        <w:rPr>
          <w:rFonts w:ascii="Arial" w:hAnsi="Arial" w:cs="Arial"/>
        </w:rPr>
        <w:t>is also a well-established tool, covering explicitly ‘sharing knowledge for IPA CBC’ and including sections on best practices and e-tools (e-publications, e-library, e-directory, e-multimedia)</w:t>
      </w:r>
      <w:r w:rsidR="005D421A" w:rsidRPr="00133A62">
        <w:rPr>
          <w:rFonts w:ascii="Arial" w:hAnsi="Arial" w:cs="Arial"/>
        </w:rPr>
        <w:t xml:space="preserve">. It can be actively used for pursuing the objectives of the strategy practically </w:t>
      </w:r>
      <w:r w:rsidR="00FA477C" w:rsidRPr="00133A62">
        <w:rPr>
          <w:rFonts w:ascii="Arial" w:hAnsi="Arial" w:cs="Arial"/>
        </w:rPr>
        <w:t xml:space="preserve">vis-à-vis </w:t>
      </w:r>
      <w:r w:rsidR="005D421A" w:rsidRPr="00133A62">
        <w:rPr>
          <w:rFonts w:ascii="Arial" w:hAnsi="Arial" w:cs="Arial"/>
        </w:rPr>
        <w:t xml:space="preserve">all target groups. </w:t>
      </w:r>
      <w:r w:rsidR="001E3D8C">
        <w:rPr>
          <w:rFonts w:ascii="Arial" w:hAnsi="Arial" w:cs="Arial"/>
        </w:rPr>
        <w:t xml:space="preserve">The </w:t>
      </w:r>
      <w:r w:rsidR="00F343BE">
        <w:rPr>
          <w:rFonts w:ascii="Arial" w:hAnsi="Arial" w:cs="Arial"/>
        </w:rPr>
        <w:t xml:space="preserve">CBC </w:t>
      </w:r>
      <w:r w:rsidR="001E3D8C">
        <w:rPr>
          <w:rFonts w:ascii="Arial" w:hAnsi="Arial" w:cs="Arial"/>
        </w:rPr>
        <w:t>programme website</w:t>
      </w:r>
      <w:r w:rsidR="0079155B">
        <w:rPr>
          <w:rFonts w:ascii="Arial" w:hAnsi="Arial" w:cs="Arial"/>
        </w:rPr>
        <w:t>s can be used similarly, and</w:t>
      </w:r>
      <w:r w:rsidR="001E3D8C">
        <w:rPr>
          <w:rFonts w:ascii="Arial" w:hAnsi="Arial" w:cs="Arial"/>
        </w:rPr>
        <w:t xml:space="preserve"> the CBIB+2 team can also encourage other stakeholders to publish </w:t>
      </w:r>
      <w:r w:rsidR="00F343BE">
        <w:rPr>
          <w:rFonts w:ascii="Arial" w:hAnsi="Arial" w:cs="Arial"/>
        </w:rPr>
        <w:t xml:space="preserve">relevant information </w:t>
      </w:r>
      <w:r w:rsidR="001E3D8C">
        <w:rPr>
          <w:rFonts w:ascii="Arial" w:hAnsi="Arial" w:cs="Arial"/>
        </w:rPr>
        <w:t xml:space="preserve">on their websites. </w:t>
      </w:r>
    </w:p>
    <w:p w:rsidR="0079155B" w:rsidRDefault="0079155B" w:rsidP="001B3A34">
      <w:pPr>
        <w:spacing w:after="0" w:line="240" w:lineRule="auto"/>
        <w:jc w:val="both"/>
        <w:rPr>
          <w:rFonts w:ascii="Arial" w:hAnsi="Arial" w:cs="Arial"/>
          <w:b/>
          <w:i/>
        </w:rPr>
      </w:pPr>
    </w:p>
    <w:p w:rsidR="00A60206" w:rsidRPr="00133A62" w:rsidRDefault="00A60206" w:rsidP="001B3A34">
      <w:pPr>
        <w:spacing w:after="0" w:line="240" w:lineRule="auto"/>
        <w:jc w:val="both"/>
        <w:rPr>
          <w:rFonts w:ascii="Arial" w:hAnsi="Arial" w:cs="Arial"/>
          <w:b/>
          <w:i/>
        </w:rPr>
      </w:pPr>
      <w:r w:rsidRPr="00133A62">
        <w:rPr>
          <w:rFonts w:ascii="Arial" w:hAnsi="Arial" w:cs="Arial"/>
          <w:b/>
          <w:i/>
        </w:rPr>
        <w:t>Publications</w:t>
      </w:r>
    </w:p>
    <w:p w:rsidR="0079155B" w:rsidRDefault="0079155B" w:rsidP="001B3A34">
      <w:pPr>
        <w:spacing w:after="0" w:line="240" w:lineRule="auto"/>
        <w:jc w:val="both"/>
        <w:rPr>
          <w:rFonts w:ascii="Arial" w:hAnsi="Arial" w:cs="Arial"/>
        </w:rPr>
      </w:pPr>
    </w:p>
    <w:p w:rsidR="00A60206" w:rsidRPr="00133A62" w:rsidRDefault="0079155B" w:rsidP="001B3A34">
      <w:pPr>
        <w:spacing w:after="0" w:line="240" w:lineRule="auto"/>
        <w:jc w:val="both"/>
        <w:rPr>
          <w:rFonts w:ascii="Arial" w:hAnsi="Arial" w:cs="Arial"/>
        </w:rPr>
      </w:pPr>
      <w:r>
        <w:rPr>
          <w:rFonts w:ascii="Arial" w:hAnsi="Arial" w:cs="Arial"/>
        </w:rPr>
        <w:t xml:space="preserve">The CBIB+2 will </w:t>
      </w:r>
      <w:r w:rsidR="005D421A" w:rsidRPr="00133A62">
        <w:rPr>
          <w:rFonts w:ascii="Arial" w:hAnsi="Arial" w:cs="Arial"/>
        </w:rPr>
        <w:t>continu</w:t>
      </w:r>
      <w:r>
        <w:rPr>
          <w:rFonts w:ascii="Arial" w:hAnsi="Arial" w:cs="Arial"/>
        </w:rPr>
        <w:t>e</w:t>
      </w:r>
      <w:r w:rsidR="005D421A" w:rsidRPr="00133A62">
        <w:rPr>
          <w:rFonts w:ascii="Arial" w:hAnsi="Arial" w:cs="Arial"/>
        </w:rPr>
        <w:t xml:space="preserve"> with different types of publications in print </w:t>
      </w:r>
      <w:r w:rsidR="00A60206" w:rsidRPr="00133A62">
        <w:rPr>
          <w:rFonts w:ascii="Arial" w:hAnsi="Arial" w:cs="Arial"/>
        </w:rPr>
        <w:t>and/or electronic form</w:t>
      </w:r>
      <w:r w:rsidR="005D421A" w:rsidRPr="00133A62">
        <w:rPr>
          <w:rFonts w:ascii="Arial" w:hAnsi="Arial" w:cs="Arial"/>
        </w:rPr>
        <w:t xml:space="preserve">: </w:t>
      </w:r>
      <w:r w:rsidR="00EE14D6" w:rsidRPr="00133A62">
        <w:rPr>
          <w:rFonts w:ascii="Arial" w:hAnsi="Arial" w:cs="Arial"/>
        </w:rPr>
        <w:t xml:space="preserve">newsletter </w:t>
      </w:r>
      <w:r w:rsidR="005D421A" w:rsidRPr="00133A62">
        <w:rPr>
          <w:rFonts w:ascii="Arial" w:hAnsi="Arial" w:cs="Arial"/>
        </w:rPr>
        <w:t>(‘</w:t>
      </w:r>
      <w:r w:rsidR="00A60206" w:rsidRPr="00133A62">
        <w:rPr>
          <w:rFonts w:ascii="Arial" w:hAnsi="Arial" w:cs="Arial"/>
        </w:rPr>
        <w:t>Yellow&amp;blue</w:t>
      </w:r>
      <w:r w:rsidR="005D421A" w:rsidRPr="00133A62">
        <w:rPr>
          <w:rFonts w:ascii="Arial" w:hAnsi="Arial" w:cs="Arial"/>
        </w:rPr>
        <w:t xml:space="preserve">’), </w:t>
      </w:r>
      <w:r w:rsidR="00EE14D6">
        <w:rPr>
          <w:rFonts w:ascii="Arial" w:hAnsi="Arial" w:cs="Arial"/>
        </w:rPr>
        <w:t>flash news</w:t>
      </w:r>
      <w:r w:rsidR="005D421A" w:rsidRPr="00133A62">
        <w:rPr>
          <w:rFonts w:ascii="Arial" w:hAnsi="Arial" w:cs="Arial"/>
        </w:rPr>
        <w:t>, and leaflets.</w:t>
      </w:r>
      <w:r w:rsidR="00A60206" w:rsidRPr="00133A62">
        <w:rPr>
          <w:rFonts w:ascii="Arial" w:hAnsi="Arial" w:cs="Arial"/>
        </w:rPr>
        <w:t xml:space="preserve"> </w:t>
      </w:r>
      <w:r w:rsidR="005D421A" w:rsidRPr="00133A62">
        <w:rPr>
          <w:rFonts w:ascii="Arial" w:hAnsi="Arial" w:cs="Arial"/>
        </w:rPr>
        <w:t>These will offer many opportunities for presenting lessons and other information and knowledge</w:t>
      </w:r>
      <w:r w:rsidR="003E3229" w:rsidRPr="00133A62">
        <w:rPr>
          <w:rFonts w:ascii="Arial" w:hAnsi="Arial" w:cs="Arial"/>
        </w:rPr>
        <w:t xml:space="preserve">, in ways appropriate for dissemination to different target groups. </w:t>
      </w:r>
      <w:r w:rsidR="005D421A" w:rsidRPr="00133A62">
        <w:rPr>
          <w:rFonts w:ascii="Arial" w:hAnsi="Arial" w:cs="Arial"/>
        </w:rPr>
        <w:t xml:space="preserve"> </w:t>
      </w:r>
    </w:p>
    <w:p w:rsidR="0079155B" w:rsidRDefault="0079155B" w:rsidP="001B3A34">
      <w:pPr>
        <w:spacing w:after="0" w:line="240" w:lineRule="auto"/>
        <w:jc w:val="both"/>
        <w:rPr>
          <w:rFonts w:ascii="Arial" w:hAnsi="Arial" w:cs="Arial"/>
          <w:b/>
          <w:i/>
        </w:rPr>
      </w:pPr>
    </w:p>
    <w:p w:rsidR="00A60206" w:rsidRPr="00133A62" w:rsidRDefault="00A60206" w:rsidP="001B3A34">
      <w:pPr>
        <w:spacing w:after="0" w:line="240" w:lineRule="auto"/>
        <w:jc w:val="both"/>
        <w:rPr>
          <w:rFonts w:ascii="Arial" w:hAnsi="Arial" w:cs="Arial"/>
          <w:b/>
          <w:i/>
        </w:rPr>
      </w:pPr>
      <w:r w:rsidRPr="00133A62">
        <w:rPr>
          <w:rFonts w:ascii="Arial" w:hAnsi="Arial" w:cs="Arial"/>
          <w:b/>
          <w:i/>
        </w:rPr>
        <w:t>Cooperation days/fairs</w:t>
      </w:r>
    </w:p>
    <w:p w:rsidR="0079155B" w:rsidRDefault="0079155B" w:rsidP="001B3A34">
      <w:pPr>
        <w:pStyle w:val="CommentText"/>
        <w:spacing w:after="0"/>
        <w:jc w:val="both"/>
        <w:rPr>
          <w:rFonts w:ascii="Arial" w:hAnsi="Arial" w:cs="Arial"/>
          <w:sz w:val="22"/>
        </w:rPr>
      </w:pPr>
    </w:p>
    <w:p w:rsidR="00F343BE" w:rsidRPr="00AF497F" w:rsidRDefault="003E3229" w:rsidP="001B3A34">
      <w:pPr>
        <w:pStyle w:val="CommentText"/>
        <w:spacing w:after="0"/>
        <w:jc w:val="both"/>
        <w:rPr>
          <w:rFonts w:ascii="Arial" w:hAnsi="Arial" w:cs="Arial"/>
          <w:sz w:val="22"/>
        </w:rPr>
      </w:pPr>
      <w:r w:rsidRPr="00AF497F">
        <w:rPr>
          <w:rFonts w:ascii="Arial" w:hAnsi="Arial" w:cs="Arial"/>
          <w:sz w:val="22"/>
        </w:rPr>
        <w:t>Such events have been organised on a</w:t>
      </w:r>
      <w:r w:rsidR="00A60206" w:rsidRPr="00AF497F">
        <w:rPr>
          <w:rFonts w:ascii="Arial" w:hAnsi="Arial" w:cs="Arial"/>
          <w:sz w:val="22"/>
        </w:rPr>
        <w:t>n ad hoc basis in some of the beneficiary countries.</w:t>
      </w:r>
      <w:r w:rsidRPr="00AF497F">
        <w:rPr>
          <w:rFonts w:ascii="Arial" w:hAnsi="Arial" w:cs="Arial"/>
          <w:sz w:val="22"/>
        </w:rPr>
        <w:t xml:space="preserve"> </w:t>
      </w:r>
      <w:r w:rsidR="00A60206" w:rsidRPr="00AF497F">
        <w:rPr>
          <w:rFonts w:ascii="Arial" w:hAnsi="Arial" w:cs="Arial"/>
          <w:sz w:val="22"/>
        </w:rPr>
        <w:t>The CBIB+2 t</w:t>
      </w:r>
      <w:r w:rsidRPr="00AF497F">
        <w:rPr>
          <w:rFonts w:ascii="Arial" w:hAnsi="Arial" w:cs="Arial"/>
          <w:sz w:val="22"/>
        </w:rPr>
        <w:t xml:space="preserve">eam will </w:t>
      </w:r>
      <w:r w:rsidR="00A60206" w:rsidRPr="00AF497F">
        <w:rPr>
          <w:rFonts w:ascii="Arial" w:hAnsi="Arial" w:cs="Arial"/>
          <w:sz w:val="22"/>
        </w:rPr>
        <w:t>encourage and support OS</w:t>
      </w:r>
      <w:r w:rsidRPr="00AF497F">
        <w:rPr>
          <w:rFonts w:ascii="Arial" w:hAnsi="Arial" w:cs="Arial"/>
          <w:sz w:val="22"/>
        </w:rPr>
        <w:t>s</w:t>
      </w:r>
      <w:r w:rsidR="00A60206" w:rsidRPr="00AF497F">
        <w:rPr>
          <w:rFonts w:ascii="Arial" w:hAnsi="Arial" w:cs="Arial"/>
          <w:sz w:val="22"/>
        </w:rPr>
        <w:t>/JTS</w:t>
      </w:r>
      <w:r w:rsidRPr="00AF497F">
        <w:rPr>
          <w:rFonts w:ascii="Arial" w:hAnsi="Arial" w:cs="Arial"/>
          <w:sz w:val="22"/>
        </w:rPr>
        <w:t>s</w:t>
      </w:r>
      <w:r w:rsidR="00A60206" w:rsidRPr="00AF497F">
        <w:rPr>
          <w:rFonts w:ascii="Arial" w:hAnsi="Arial" w:cs="Arial"/>
          <w:sz w:val="22"/>
        </w:rPr>
        <w:t xml:space="preserve"> so that in future cooperation days </w:t>
      </w:r>
      <w:r w:rsidRPr="00AF497F">
        <w:rPr>
          <w:rFonts w:ascii="Arial" w:hAnsi="Arial" w:cs="Arial"/>
          <w:sz w:val="22"/>
        </w:rPr>
        <w:t xml:space="preserve">or fairs </w:t>
      </w:r>
      <w:r w:rsidR="00A60206" w:rsidRPr="00AF497F">
        <w:rPr>
          <w:rFonts w:ascii="Arial" w:hAnsi="Arial" w:cs="Arial"/>
          <w:sz w:val="22"/>
        </w:rPr>
        <w:t>take place more systematically in all beneficiary countries.</w:t>
      </w:r>
      <w:r w:rsidR="00F343BE" w:rsidRPr="00AF497F">
        <w:rPr>
          <w:rFonts w:ascii="Arial" w:hAnsi="Arial" w:cs="Arial"/>
          <w:sz w:val="22"/>
        </w:rPr>
        <w:t xml:space="preserve"> Generally, all CBC programme</w:t>
      </w:r>
      <w:r w:rsidR="00FA477C">
        <w:rPr>
          <w:rFonts w:ascii="Arial" w:hAnsi="Arial" w:cs="Arial"/>
          <w:sz w:val="22"/>
        </w:rPr>
        <w:t>s</w:t>
      </w:r>
      <w:r w:rsidR="00F343BE" w:rsidRPr="00AF497F">
        <w:rPr>
          <w:rFonts w:ascii="Arial" w:hAnsi="Arial" w:cs="Arial"/>
          <w:sz w:val="22"/>
        </w:rPr>
        <w:t xml:space="preserve"> offer opportunities for disseminating information on lessons learnt. In addition, one </w:t>
      </w:r>
      <w:r w:rsidR="00F343BE">
        <w:rPr>
          <w:rFonts w:ascii="Arial" w:hAnsi="Arial" w:cs="Arial"/>
          <w:sz w:val="22"/>
        </w:rPr>
        <w:t xml:space="preserve">specific </w:t>
      </w:r>
      <w:r w:rsidR="00F343BE" w:rsidRPr="00AF497F">
        <w:rPr>
          <w:rFonts w:ascii="Arial" w:hAnsi="Arial" w:cs="Arial"/>
          <w:sz w:val="22"/>
        </w:rPr>
        <w:t>event each year</w:t>
      </w:r>
      <w:r w:rsidR="00F343BE">
        <w:rPr>
          <w:rFonts w:ascii="Arial" w:hAnsi="Arial" w:cs="Arial"/>
          <w:sz w:val="22"/>
        </w:rPr>
        <w:t>,</w:t>
      </w:r>
      <w:r w:rsidR="00F343BE" w:rsidRPr="00AF497F">
        <w:rPr>
          <w:rFonts w:ascii="Arial" w:hAnsi="Arial" w:cs="Arial"/>
          <w:sz w:val="22"/>
        </w:rPr>
        <w:t xml:space="preserve"> under the European Cooperation day celebration (September</w:t>
      </w:r>
      <w:r w:rsidR="00FA477C">
        <w:rPr>
          <w:rFonts w:ascii="Arial" w:hAnsi="Arial" w:cs="Arial"/>
          <w:sz w:val="22"/>
        </w:rPr>
        <w:t>/October</w:t>
      </w:r>
      <w:r w:rsidR="00F343BE" w:rsidRPr="00AF497F">
        <w:rPr>
          <w:rFonts w:ascii="Arial" w:hAnsi="Arial" w:cs="Arial"/>
          <w:sz w:val="22"/>
        </w:rPr>
        <w:t>)</w:t>
      </w:r>
      <w:r w:rsidR="00F343BE">
        <w:rPr>
          <w:rFonts w:ascii="Arial" w:hAnsi="Arial" w:cs="Arial"/>
          <w:sz w:val="22"/>
        </w:rPr>
        <w:t>,</w:t>
      </w:r>
      <w:r w:rsidR="00F343BE" w:rsidRPr="00AF497F">
        <w:rPr>
          <w:rFonts w:ascii="Arial" w:hAnsi="Arial" w:cs="Arial"/>
          <w:sz w:val="22"/>
        </w:rPr>
        <w:t xml:space="preserve"> is extremely useful, especially</w:t>
      </w:r>
      <w:r w:rsidR="00F343BE">
        <w:rPr>
          <w:rFonts w:ascii="Arial" w:hAnsi="Arial" w:cs="Arial"/>
          <w:sz w:val="22"/>
        </w:rPr>
        <w:t xml:space="preserve"> with </w:t>
      </w:r>
      <w:r w:rsidR="00F343BE" w:rsidRPr="00AF497F">
        <w:rPr>
          <w:rFonts w:ascii="Arial" w:hAnsi="Arial" w:cs="Arial"/>
          <w:sz w:val="22"/>
        </w:rPr>
        <w:t>adequate national media coverage</w:t>
      </w:r>
      <w:r w:rsidR="00F343BE">
        <w:rPr>
          <w:rFonts w:ascii="Arial" w:hAnsi="Arial" w:cs="Arial"/>
          <w:sz w:val="22"/>
        </w:rPr>
        <w:t>.</w:t>
      </w:r>
      <w:r w:rsidR="00F343BE" w:rsidRPr="00AF497F">
        <w:rPr>
          <w:rFonts w:ascii="Arial" w:hAnsi="Arial" w:cs="Arial"/>
          <w:sz w:val="22"/>
        </w:rPr>
        <w:t xml:space="preserve"> </w:t>
      </w:r>
    </w:p>
    <w:p w:rsidR="0079155B" w:rsidRDefault="0079155B" w:rsidP="001B3A34">
      <w:pPr>
        <w:spacing w:after="0" w:line="240" w:lineRule="auto"/>
        <w:jc w:val="both"/>
        <w:rPr>
          <w:rFonts w:ascii="Arial" w:hAnsi="Arial" w:cs="Arial"/>
        </w:rPr>
      </w:pPr>
    </w:p>
    <w:p w:rsidR="00A60206" w:rsidRPr="00133A62" w:rsidRDefault="00A60206" w:rsidP="001B3A34">
      <w:pPr>
        <w:spacing w:after="0" w:line="240" w:lineRule="auto"/>
        <w:jc w:val="both"/>
        <w:rPr>
          <w:rFonts w:ascii="Arial" w:hAnsi="Arial" w:cs="Arial"/>
        </w:rPr>
      </w:pPr>
      <w:r w:rsidRPr="00133A62">
        <w:rPr>
          <w:rFonts w:ascii="Arial" w:hAnsi="Arial" w:cs="Arial"/>
        </w:rPr>
        <w:lastRenderedPageBreak/>
        <w:t>The</w:t>
      </w:r>
      <w:r w:rsidR="00F343BE">
        <w:rPr>
          <w:rFonts w:ascii="Arial" w:hAnsi="Arial" w:cs="Arial"/>
        </w:rPr>
        <w:t>se events</w:t>
      </w:r>
      <w:r w:rsidRPr="00133A62">
        <w:rPr>
          <w:rFonts w:ascii="Arial" w:hAnsi="Arial" w:cs="Arial"/>
        </w:rPr>
        <w:t xml:space="preserve"> will offer an important opportunity for reaching and informing a broader audience of potential beneficiaries.</w:t>
      </w:r>
    </w:p>
    <w:p w:rsidR="0079155B" w:rsidRDefault="0079155B" w:rsidP="001B3A34">
      <w:pPr>
        <w:spacing w:after="0" w:line="240" w:lineRule="auto"/>
        <w:jc w:val="both"/>
        <w:rPr>
          <w:rFonts w:ascii="Arial" w:hAnsi="Arial" w:cs="Arial"/>
          <w:b/>
          <w:i/>
        </w:rPr>
      </w:pPr>
    </w:p>
    <w:p w:rsidR="00A60206" w:rsidRPr="00133A62" w:rsidRDefault="00A60206" w:rsidP="001B3A34">
      <w:pPr>
        <w:spacing w:after="0" w:line="240" w:lineRule="auto"/>
        <w:jc w:val="both"/>
        <w:rPr>
          <w:rFonts w:ascii="Arial" w:hAnsi="Arial" w:cs="Arial"/>
          <w:b/>
          <w:i/>
        </w:rPr>
      </w:pPr>
      <w:r w:rsidRPr="00133A62">
        <w:rPr>
          <w:rFonts w:ascii="Arial" w:hAnsi="Arial" w:cs="Arial"/>
          <w:b/>
          <w:i/>
        </w:rPr>
        <w:t>Other possibilities</w:t>
      </w:r>
    </w:p>
    <w:p w:rsidR="0079155B" w:rsidRDefault="0079155B" w:rsidP="001B3A34">
      <w:pPr>
        <w:spacing w:after="0" w:line="240" w:lineRule="auto"/>
        <w:jc w:val="both"/>
        <w:rPr>
          <w:rFonts w:ascii="Arial" w:hAnsi="Arial" w:cs="Arial"/>
        </w:rPr>
      </w:pPr>
    </w:p>
    <w:p w:rsidR="003E3229" w:rsidRPr="00133A62" w:rsidRDefault="00FA477C" w:rsidP="001B3A34">
      <w:pPr>
        <w:spacing w:after="0" w:line="240" w:lineRule="auto"/>
        <w:jc w:val="both"/>
        <w:rPr>
          <w:rFonts w:ascii="Arial" w:hAnsi="Arial" w:cs="Arial"/>
        </w:rPr>
      </w:pPr>
      <w:r>
        <w:rPr>
          <w:rFonts w:ascii="Arial" w:hAnsi="Arial" w:cs="Arial"/>
        </w:rPr>
        <w:t>T</w:t>
      </w:r>
      <w:r w:rsidR="003E3229" w:rsidRPr="00133A62">
        <w:rPr>
          <w:rFonts w:ascii="Arial" w:hAnsi="Arial" w:cs="Arial"/>
        </w:rPr>
        <w:t xml:space="preserve">he CBIB+2 project team and the </w:t>
      </w:r>
      <w:r>
        <w:rPr>
          <w:rFonts w:ascii="Arial" w:hAnsi="Arial" w:cs="Arial"/>
        </w:rPr>
        <w:t>subject-related</w:t>
      </w:r>
      <w:r w:rsidR="003E3229" w:rsidRPr="00133A62">
        <w:rPr>
          <w:rFonts w:ascii="Arial" w:hAnsi="Arial" w:cs="Arial"/>
        </w:rPr>
        <w:t xml:space="preserve"> TWG</w:t>
      </w:r>
      <w:r>
        <w:rPr>
          <w:rFonts w:ascii="Arial" w:hAnsi="Arial" w:cs="Arial"/>
        </w:rPr>
        <w:t xml:space="preserve"> should explore other options</w:t>
      </w:r>
      <w:r w:rsidR="003E3229" w:rsidRPr="00133A62">
        <w:rPr>
          <w:rFonts w:ascii="Arial" w:hAnsi="Arial" w:cs="Arial"/>
        </w:rPr>
        <w:t xml:space="preserve">. </w:t>
      </w:r>
      <w:r>
        <w:rPr>
          <w:rFonts w:ascii="Arial" w:hAnsi="Arial" w:cs="Arial"/>
          <w:b/>
          <w:i/>
        </w:rPr>
        <w:t>C</w:t>
      </w:r>
      <w:r w:rsidR="00143859" w:rsidRPr="00143859">
        <w:rPr>
          <w:rFonts w:ascii="Arial" w:hAnsi="Arial" w:cs="Arial"/>
          <w:b/>
          <w:i/>
        </w:rPr>
        <w:t>ommunication and</w:t>
      </w:r>
      <w:r w:rsidR="00143859">
        <w:rPr>
          <w:rFonts w:ascii="Arial" w:hAnsi="Arial" w:cs="Arial"/>
        </w:rPr>
        <w:t xml:space="preserve"> </w:t>
      </w:r>
      <w:r w:rsidR="003E3229" w:rsidRPr="00133A62">
        <w:rPr>
          <w:rFonts w:ascii="Arial" w:hAnsi="Arial" w:cs="Arial"/>
          <w:b/>
          <w:i/>
        </w:rPr>
        <w:t>visibility activities</w:t>
      </w:r>
      <w:r w:rsidR="003E3229" w:rsidRPr="00133A62">
        <w:rPr>
          <w:rFonts w:ascii="Arial" w:hAnsi="Arial" w:cs="Arial"/>
        </w:rPr>
        <w:t xml:space="preserve"> of different IPA </w:t>
      </w:r>
      <w:r w:rsidR="003E3229" w:rsidRPr="00143859">
        <w:rPr>
          <w:rFonts w:ascii="Arial" w:hAnsi="Arial" w:cs="Arial"/>
        </w:rPr>
        <w:t xml:space="preserve">CBC </w:t>
      </w:r>
      <w:r w:rsidR="003F33CA">
        <w:rPr>
          <w:rFonts w:ascii="Arial" w:hAnsi="Arial" w:cs="Arial"/>
        </w:rPr>
        <w:t>p</w:t>
      </w:r>
      <w:r w:rsidR="003E3229" w:rsidRPr="00143859">
        <w:rPr>
          <w:rFonts w:ascii="Arial" w:hAnsi="Arial" w:cs="Arial"/>
        </w:rPr>
        <w:t xml:space="preserve">rogrammes and of the CBIB+2 </w:t>
      </w:r>
      <w:proofErr w:type="gramStart"/>
      <w:r w:rsidR="003E3229" w:rsidRPr="00143859">
        <w:rPr>
          <w:rFonts w:ascii="Arial" w:hAnsi="Arial" w:cs="Arial"/>
        </w:rPr>
        <w:t>project</w:t>
      </w:r>
      <w:proofErr w:type="gramEnd"/>
      <w:r w:rsidR="003E3229" w:rsidRPr="00143859">
        <w:rPr>
          <w:rFonts w:ascii="Arial" w:hAnsi="Arial" w:cs="Arial"/>
        </w:rPr>
        <w:t xml:space="preserve"> itself with the aim of raising awareness of</w:t>
      </w:r>
      <w:r w:rsidR="003E3229" w:rsidRPr="00133A62">
        <w:rPr>
          <w:rFonts w:ascii="Arial" w:hAnsi="Arial" w:cs="Arial"/>
        </w:rPr>
        <w:t xml:space="preserve"> the local population</w:t>
      </w:r>
      <w:r>
        <w:rPr>
          <w:rFonts w:ascii="Arial" w:hAnsi="Arial" w:cs="Arial"/>
        </w:rPr>
        <w:t xml:space="preserve"> should be one of th</w:t>
      </w:r>
      <w:r w:rsidR="003F33CA">
        <w:rPr>
          <w:rFonts w:ascii="Arial" w:hAnsi="Arial" w:cs="Arial"/>
        </w:rPr>
        <w:t>ese options</w:t>
      </w:r>
      <w:r w:rsidR="003E3229" w:rsidRPr="00133A62">
        <w:rPr>
          <w:rFonts w:ascii="Arial" w:hAnsi="Arial" w:cs="Arial"/>
        </w:rPr>
        <w:t xml:space="preserve">. </w:t>
      </w:r>
      <w:r w:rsidR="00F343BE">
        <w:rPr>
          <w:rFonts w:ascii="Arial" w:hAnsi="Arial" w:cs="Arial"/>
        </w:rPr>
        <w:t xml:space="preserve">Another </w:t>
      </w:r>
      <w:r w:rsidR="003F33CA">
        <w:rPr>
          <w:rFonts w:ascii="Arial" w:hAnsi="Arial" w:cs="Arial"/>
        </w:rPr>
        <w:t>one could be</w:t>
      </w:r>
      <w:r w:rsidR="00816952">
        <w:rPr>
          <w:rFonts w:ascii="Arial" w:hAnsi="Arial" w:cs="Arial"/>
        </w:rPr>
        <w:t xml:space="preserve"> the use of </w:t>
      </w:r>
      <w:r w:rsidR="00816952" w:rsidRPr="00AF497F">
        <w:rPr>
          <w:rFonts w:ascii="Arial" w:hAnsi="Arial" w:cs="Arial"/>
          <w:b/>
          <w:i/>
        </w:rPr>
        <w:t>social media</w:t>
      </w:r>
      <w:r w:rsidR="00816952">
        <w:rPr>
          <w:rFonts w:ascii="Arial" w:hAnsi="Arial" w:cs="Arial"/>
        </w:rPr>
        <w:t xml:space="preserve"> to reach the </w:t>
      </w:r>
      <w:r w:rsidR="003F33CA">
        <w:rPr>
          <w:rFonts w:ascii="Arial" w:hAnsi="Arial" w:cs="Arial"/>
        </w:rPr>
        <w:t xml:space="preserve">programme administrators. </w:t>
      </w:r>
      <w:r w:rsidR="00F343BE">
        <w:rPr>
          <w:rFonts w:ascii="Arial" w:hAnsi="Arial" w:cs="Arial"/>
        </w:rPr>
        <w:t xml:space="preserve"> </w:t>
      </w:r>
    </w:p>
    <w:p w:rsidR="0079155B" w:rsidRDefault="0079155B" w:rsidP="001B3A34">
      <w:pPr>
        <w:spacing w:after="0" w:line="240" w:lineRule="auto"/>
        <w:jc w:val="both"/>
        <w:rPr>
          <w:rFonts w:ascii="Arial" w:hAnsi="Arial" w:cs="Arial"/>
        </w:rPr>
      </w:pPr>
    </w:p>
    <w:p w:rsidR="001D710B" w:rsidRDefault="003E3229" w:rsidP="001B3A34">
      <w:pPr>
        <w:spacing w:after="0" w:line="240" w:lineRule="auto"/>
        <w:jc w:val="both"/>
        <w:rPr>
          <w:rFonts w:ascii="Arial" w:hAnsi="Arial" w:cs="Arial"/>
        </w:rPr>
      </w:pPr>
      <w:r w:rsidRPr="00133A62">
        <w:rPr>
          <w:rFonts w:ascii="Arial" w:hAnsi="Arial" w:cs="Arial"/>
        </w:rPr>
        <w:t xml:space="preserve">Other </w:t>
      </w:r>
      <w:r w:rsidR="001D710B" w:rsidRPr="00133A62">
        <w:rPr>
          <w:rFonts w:ascii="Arial" w:hAnsi="Arial" w:cs="Arial"/>
        </w:rPr>
        <w:t>possibilities to be explored should aim to complement and strengthen two-way processes of informing target groups and receiving feedback. They could include:</w:t>
      </w:r>
    </w:p>
    <w:p w:rsidR="0079155B" w:rsidRPr="00133A62" w:rsidRDefault="0079155B" w:rsidP="001B3A34">
      <w:pPr>
        <w:spacing w:after="0" w:line="240" w:lineRule="auto"/>
        <w:jc w:val="both"/>
        <w:rPr>
          <w:rFonts w:ascii="Arial" w:hAnsi="Arial" w:cs="Arial"/>
        </w:rPr>
      </w:pPr>
    </w:p>
    <w:p w:rsidR="00A60206" w:rsidRPr="00133A62" w:rsidRDefault="001D710B" w:rsidP="001B3A34">
      <w:pPr>
        <w:pStyle w:val="ListParagraph"/>
        <w:numPr>
          <w:ilvl w:val="0"/>
          <w:numId w:val="26"/>
        </w:numPr>
        <w:spacing w:after="0" w:line="240" w:lineRule="auto"/>
        <w:jc w:val="both"/>
        <w:rPr>
          <w:rFonts w:ascii="Arial" w:hAnsi="Arial" w:cs="Arial"/>
        </w:rPr>
      </w:pPr>
      <w:r w:rsidRPr="00133A62">
        <w:rPr>
          <w:rFonts w:ascii="Arial" w:hAnsi="Arial" w:cs="Arial"/>
        </w:rPr>
        <w:t xml:space="preserve">establishing systematic </w:t>
      </w:r>
      <w:r w:rsidRPr="00133A62">
        <w:rPr>
          <w:rFonts w:ascii="Arial" w:hAnsi="Arial" w:cs="Arial"/>
          <w:b/>
          <w:i/>
        </w:rPr>
        <w:t>l</w:t>
      </w:r>
      <w:r w:rsidR="00A60206" w:rsidRPr="00133A62">
        <w:rPr>
          <w:rFonts w:ascii="Arial" w:hAnsi="Arial" w:cs="Arial"/>
          <w:b/>
          <w:i/>
        </w:rPr>
        <w:t>i</w:t>
      </w:r>
      <w:r w:rsidRPr="00133A62">
        <w:rPr>
          <w:rFonts w:ascii="Arial" w:hAnsi="Arial" w:cs="Arial"/>
          <w:b/>
          <w:i/>
        </w:rPr>
        <w:t>nks with umbrella organisations</w:t>
      </w:r>
      <w:r w:rsidRPr="00133A62">
        <w:rPr>
          <w:rFonts w:ascii="Arial" w:hAnsi="Arial" w:cs="Arial"/>
        </w:rPr>
        <w:t>, such as associations of cities/municipalities</w:t>
      </w:r>
      <w:r w:rsidR="008E3555">
        <w:rPr>
          <w:rFonts w:ascii="Arial" w:hAnsi="Arial" w:cs="Arial"/>
        </w:rPr>
        <w:t>, professional chambers</w:t>
      </w:r>
      <w:r w:rsidRPr="00133A62">
        <w:rPr>
          <w:rFonts w:ascii="Arial" w:hAnsi="Arial" w:cs="Arial"/>
        </w:rPr>
        <w:t xml:space="preserve"> and NGOs;</w:t>
      </w:r>
    </w:p>
    <w:p w:rsidR="00816952" w:rsidRDefault="001D710B" w:rsidP="001B3A34">
      <w:pPr>
        <w:pStyle w:val="ListParagraph"/>
        <w:numPr>
          <w:ilvl w:val="0"/>
          <w:numId w:val="26"/>
        </w:numPr>
        <w:spacing w:after="0" w:line="240" w:lineRule="auto"/>
        <w:jc w:val="both"/>
        <w:rPr>
          <w:rFonts w:ascii="Arial" w:hAnsi="Arial" w:cs="Arial"/>
        </w:rPr>
      </w:pPr>
      <w:r w:rsidRPr="00133A62">
        <w:rPr>
          <w:rFonts w:ascii="Arial" w:hAnsi="Arial" w:cs="Arial"/>
        </w:rPr>
        <w:t xml:space="preserve">promoting a </w:t>
      </w:r>
      <w:r w:rsidRPr="00133A62">
        <w:rPr>
          <w:rFonts w:ascii="Arial" w:hAnsi="Arial" w:cs="Arial"/>
          <w:b/>
          <w:i/>
        </w:rPr>
        <w:t>‘CBC quality circle’</w:t>
      </w:r>
      <w:r w:rsidR="00133A62" w:rsidRPr="00133A62">
        <w:rPr>
          <w:rStyle w:val="FootnoteReference"/>
          <w:rFonts w:ascii="Arial" w:hAnsi="Arial" w:cs="Arial"/>
          <w:sz w:val="18"/>
        </w:rPr>
        <w:footnoteReference w:id="14"/>
      </w:r>
      <w:r w:rsidRPr="00133A62">
        <w:rPr>
          <w:rFonts w:ascii="Arial" w:hAnsi="Arial" w:cs="Arial"/>
          <w:sz w:val="18"/>
        </w:rPr>
        <w:t xml:space="preserve"> </w:t>
      </w:r>
      <w:r w:rsidRPr="00133A62">
        <w:rPr>
          <w:rFonts w:ascii="Arial" w:hAnsi="Arial" w:cs="Arial"/>
        </w:rPr>
        <w:t xml:space="preserve">of </w:t>
      </w:r>
      <w:r w:rsidR="00133A62" w:rsidRPr="00133A62">
        <w:rPr>
          <w:rFonts w:ascii="Arial" w:hAnsi="Arial" w:cs="Arial"/>
        </w:rPr>
        <w:t>individuals and/or organisations d</w:t>
      </w:r>
      <w:r w:rsidR="003F33CA">
        <w:rPr>
          <w:rFonts w:ascii="Arial" w:hAnsi="Arial" w:cs="Arial"/>
        </w:rPr>
        <w:t>r</w:t>
      </w:r>
      <w:r w:rsidR="00133A62" w:rsidRPr="00133A62">
        <w:rPr>
          <w:rFonts w:ascii="Arial" w:hAnsi="Arial" w:cs="Arial"/>
        </w:rPr>
        <w:t xml:space="preserve">awn from all groups of </w:t>
      </w:r>
      <w:r w:rsidRPr="00133A62">
        <w:rPr>
          <w:rFonts w:ascii="Arial" w:hAnsi="Arial" w:cs="Arial"/>
        </w:rPr>
        <w:t>stakeholders</w:t>
      </w:r>
      <w:r w:rsidR="00133A62" w:rsidRPr="00133A62">
        <w:rPr>
          <w:rStyle w:val="FootnoteReference"/>
          <w:rFonts w:ascii="Arial" w:hAnsi="Arial" w:cs="Arial"/>
          <w:sz w:val="18"/>
        </w:rPr>
        <w:footnoteReference w:id="15"/>
      </w:r>
      <w:r w:rsidRPr="00133A62">
        <w:rPr>
          <w:rFonts w:ascii="Arial" w:hAnsi="Arial" w:cs="Arial"/>
          <w:sz w:val="18"/>
        </w:rPr>
        <w:t>,</w:t>
      </w:r>
      <w:r w:rsidRPr="00133A62">
        <w:rPr>
          <w:rFonts w:ascii="Arial" w:hAnsi="Arial" w:cs="Arial"/>
        </w:rPr>
        <w:t xml:space="preserve"> who will be able to identify CBC obstacles and other issues, and will explore and follow up solutions, beyond the confined scope of the IPA CBC programmes and with a </w:t>
      </w:r>
      <w:r w:rsidR="00133A62" w:rsidRPr="00133A62">
        <w:rPr>
          <w:rFonts w:ascii="Arial" w:hAnsi="Arial" w:cs="Arial"/>
        </w:rPr>
        <w:t>longer-term sustainability perspective.</w:t>
      </w:r>
    </w:p>
    <w:p w:rsidR="001B3A34" w:rsidRDefault="001B3A34" w:rsidP="001B3A34">
      <w:pPr>
        <w:pStyle w:val="Heading2"/>
        <w:spacing w:before="0" w:line="240" w:lineRule="auto"/>
      </w:pPr>
    </w:p>
    <w:p w:rsidR="00816952" w:rsidRPr="00AF497F" w:rsidRDefault="00383948" w:rsidP="001B3A34">
      <w:pPr>
        <w:pStyle w:val="Heading2"/>
        <w:spacing w:before="0" w:line="240" w:lineRule="auto"/>
      </w:pPr>
      <w:bookmarkStart w:id="10" w:name="_Toc465088536"/>
      <w:r>
        <w:t>5</w:t>
      </w:r>
      <w:r w:rsidR="00816952" w:rsidRPr="00AF497F">
        <w:t>.3</w:t>
      </w:r>
      <w:r w:rsidR="00816952" w:rsidRPr="00AF497F">
        <w:tab/>
      </w:r>
      <w:r w:rsidR="004C371D" w:rsidRPr="00AF497F">
        <w:t>Pri</w:t>
      </w:r>
      <w:r w:rsidR="00816952" w:rsidRPr="00AF497F">
        <w:t>orities</w:t>
      </w:r>
      <w:bookmarkEnd w:id="10"/>
    </w:p>
    <w:p w:rsidR="001B3A34" w:rsidRDefault="001B3A34" w:rsidP="001B3A34">
      <w:pPr>
        <w:spacing w:after="0" w:line="240" w:lineRule="auto"/>
        <w:jc w:val="both"/>
        <w:rPr>
          <w:rFonts w:ascii="Arial" w:hAnsi="Arial" w:cs="Arial"/>
        </w:rPr>
      </w:pPr>
    </w:p>
    <w:p w:rsidR="00816952" w:rsidRDefault="00816952" w:rsidP="001B3A34">
      <w:pPr>
        <w:spacing w:after="0" w:line="240" w:lineRule="auto"/>
        <w:jc w:val="both"/>
        <w:rPr>
          <w:rFonts w:ascii="Arial" w:hAnsi="Arial" w:cs="Arial"/>
        </w:rPr>
      </w:pPr>
      <w:r>
        <w:rPr>
          <w:rFonts w:ascii="Arial" w:hAnsi="Arial" w:cs="Arial"/>
        </w:rPr>
        <w:t xml:space="preserve">In defining sectoral or thematic priority areas the </w:t>
      </w:r>
      <w:r w:rsidR="003F33CA">
        <w:rPr>
          <w:rFonts w:ascii="Arial" w:hAnsi="Arial" w:cs="Arial"/>
        </w:rPr>
        <w:t xml:space="preserve">CBIB+2 </w:t>
      </w:r>
      <w:r>
        <w:rPr>
          <w:rFonts w:ascii="Arial" w:hAnsi="Arial" w:cs="Arial"/>
        </w:rPr>
        <w:t xml:space="preserve">project team, </w:t>
      </w:r>
      <w:r w:rsidR="004C371D">
        <w:rPr>
          <w:rFonts w:ascii="Arial" w:hAnsi="Arial" w:cs="Arial"/>
        </w:rPr>
        <w:t xml:space="preserve">the </w:t>
      </w:r>
      <w:r>
        <w:rPr>
          <w:rFonts w:ascii="Arial" w:hAnsi="Arial" w:cs="Arial"/>
        </w:rPr>
        <w:t xml:space="preserve">TWG and from time to time the CBC Regional Forum will need to take account of the thematic priorities selected in the IPA CBC </w:t>
      </w:r>
      <w:r w:rsidR="003F33CA">
        <w:rPr>
          <w:rFonts w:ascii="Arial" w:hAnsi="Arial" w:cs="Arial"/>
        </w:rPr>
        <w:t>p</w:t>
      </w:r>
      <w:r w:rsidR="00CB0CCA">
        <w:rPr>
          <w:rFonts w:ascii="Arial" w:hAnsi="Arial" w:cs="Arial"/>
        </w:rPr>
        <w:t>rogrammes. As shown in Figure 3</w:t>
      </w:r>
      <w:r>
        <w:rPr>
          <w:rFonts w:ascii="Arial" w:hAnsi="Arial" w:cs="Arial"/>
        </w:rPr>
        <w:t xml:space="preserve">, two such priorities have been adopted by all programmes, namely, </w:t>
      </w:r>
      <w:r w:rsidR="003F33CA">
        <w:rPr>
          <w:rFonts w:ascii="Arial" w:hAnsi="Arial" w:cs="Arial"/>
        </w:rPr>
        <w:t>‘</w:t>
      </w:r>
      <w:r>
        <w:rPr>
          <w:rFonts w:ascii="Arial" w:hAnsi="Arial" w:cs="Arial"/>
        </w:rPr>
        <w:t>protecting the environment, etc.</w:t>
      </w:r>
      <w:r w:rsidR="003F33CA">
        <w:rPr>
          <w:rFonts w:ascii="Arial" w:hAnsi="Arial" w:cs="Arial"/>
        </w:rPr>
        <w:t>’</w:t>
      </w:r>
      <w:r>
        <w:rPr>
          <w:rFonts w:ascii="Arial" w:hAnsi="Arial" w:cs="Arial"/>
        </w:rPr>
        <w:t xml:space="preserve"> and </w:t>
      </w:r>
      <w:r w:rsidR="003F33CA">
        <w:rPr>
          <w:rFonts w:ascii="Arial" w:hAnsi="Arial" w:cs="Arial"/>
        </w:rPr>
        <w:t>‘</w:t>
      </w:r>
      <w:r>
        <w:rPr>
          <w:rFonts w:ascii="Arial" w:hAnsi="Arial" w:cs="Arial"/>
        </w:rPr>
        <w:t>encouraging tourism and cultural and natural heritage</w:t>
      </w:r>
      <w:r w:rsidR="003F33CA">
        <w:rPr>
          <w:rFonts w:ascii="Arial" w:hAnsi="Arial" w:cs="Arial"/>
        </w:rPr>
        <w:t>’</w:t>
      </w:r>
      <w:r>
        <w:rPr>
          <w:rFonts w:ascii="Arial" w:hAnsi="Arial" w:cs="Arial"/>
        </w:rPr>
        <w:t xml:space="preserve">. Three other thematic priorities are followed by some of the programmes and concern </w:t>
      </w:r>
      <w:r w:rsidR="003F33CA">
        <w:rPr>
          <w:rFonts w:ascii="Arial" w:hAnsi="Arial" w:cs="Arial"/>
        </w:rPr>
        <w:t xml:space="preserve">‘promoting </w:t>
      </w:r>
      <w:r>
        <w:rPr>
          <w:rFonts w:ascii="Arial" w:hAnsi="Arial" w:cs="Arial"/>
        </w:rPr>
        <w:t>employment</w:t>
      </w:r>
      <w:r w:rsidR="003F33CA">
        <w:rPr>
          <w:rFonts w:ascii="Arial" w:hAnsi="Arial" w:cs="Arial"/>
        </w:rPr>
        <w:t>’</w:t>
      </w:r>
      <w:r>
        <w:rPr>
          <w:rFonts w:ascii="Arial" w:hAnsi="Arial" w:cs="Arial"/>
        </w:rPr>
        <w:t xml:space="preserve">, </w:t>
      </w:r>
      <w:r w:rsidR="003F33CA">
        <w:rPr>
          <w:rFonts w:ascii="Arial" w:hAnsi="Arial" w:cs="Arial"/>
        </w:rPr>
        <w:t xml:space="preserve">‘enhancing </w:t>
      </w:r>
      <w:r>
        <w:rPr>
          <w:rFonts w:ascii="Arial" w:hAnsi="Arial" w:cs="Arial"/>
        </w:rPr>
        <w:t>competitiveness</w:t>
      </w:r>
      <w:r w:rsidR="00454EAA">
        <w:rPr>
          <w:rFonts w:ascii="Arial" w:hAnsi="Arial" w:cs="Arial"/>
        </w:rPr>
        <w:t>’</w:t>
      </w:r>
      <w:r>
        <w:rPr>
          <w:rFonts w:ascii="Arial" w:hAnsi="Arial" w:cs="Arial"/>
        </w:rPr>
        <w:t xml:space="preserve">, and </w:t>
      </w:r>
      <w:r w:rsidR="00454EAA">
        <w:rPr>
          <w:rFonts w:ascii="Arial" w:hAnsi="Arial" w:cs="Arial"/>
        </w:rPr>
        <w:t xml:space="preserve">‘investing in </w:t>
      </w:r>
      <w:r>
        <w:rPr>
          <w:rFonts w:ascii="Arial" w:hAnsi="Arial" w:cs="Arial"/>
        </w:rPr>
        <w:t>youth</w:t>
      </w:r>
      <w:r w:rsidR="00454EAA">
        <w:rPr>
          <w:rFonts w:ascii="Arial" w:hAnsi="Arial" w:cs="Arial"/>
        </w:rPr>
        <w:t xml:space="preserve">, </w:t>
      </w:r>
      <w:r>
        <w:rPr>
          <w:rFonts w:ascii="Arial" w:hAnsi="Arial" w:cs="Arial"/>
        </w:rPr>
        <w:t>education</w:t>
      </w:r>
      <w:r w:rsidR="00454EAA">
        <w:rPr>
          <w:rFonts w:ascii="Arial" w:hAnsi="Arial" w:cs="Arial"/>
        </w:rPr>
        <w:t xml:space="preserve"> and skills’</w:t>
      </w:r>
      <w:r>
        <w:rPr>
          <w:rFonts w:ascii="Arial" w:hAnsi="Arial" w:cs="Arial"/>
        </w:rPr>
        <w:t xml:space="preserve">. </w:t>
      </w:r>
    </w:p>
    <w:p w:rsidR="0079155B" w:rsidRDefault="0079155B" w:rsidP="001B3A34">
      <w:pPr>
        <w:spacing w:after="0" w:line="240" w:lineRule="auto"/>
        <w:rPr>
          <w:rFonts w:ascii="Arial" w:hAnsi="Arial" w:cs="Arial"/>
          <w:b/>
        </w:rPr>
      </w:pPr>
    </w:p>
    <w:p w:rsidR="00816952" w:rsidRDefault="00CB0CCA" w:rsidP="001B3A34">
      <w:pPr>
        <w:spacing w:after="0" w:line="240" w:lineRule="auto"/>
        <w:rPr>
          <w:rFonts w:ascii="Arial" w:hAnsi="Arial" w:cs="Arial"/>
          <w:b/>
        </w:rPr>
      </w:pPr>
      <w:r>
        <w:rPr>
          <w:rFonts w:ascii="Arial" w:hAnsi="Arial" w:cs="Arial"/>
          <w:b/>
        </w:rPr>
        <w:t>Figure 3</w:t>
      </w:r>
      <w:r w:rsidR="00816952" w:rsidRPr="00B702B5">
        <w:rPr>
          <w:rFonts w:ascii="Arial" w:hAnsi="Arial" w:cs="Arial"/>
          <w:b/>
        </w:rPr>
        <w:t>: Thematic priorities selected in CBC Programmes</w:t>
      </w:r>
    </w:p>
    <w:p w:rsidR="00534670" w:rsidRDefault="00534670" w:rsidP="001B3A34">
      <w:pPr>
        <w:spacing w:after="0" w:line="240" w:lineRule="auto"/>
        <w:rPr>
          <w:rFonts w:ascii="Arial" w:hAnsi="Arial" w:cs="Arial"/>
          <w:b/>
        </w:rPr>
      </w:pPr>
    </w:p>
    <w:tbl>
      <w:tblPr>
        <w:tblStyle w:val="TableGrid"/>
        <w:tblW w:w="9414" w:type="dxa"/>
        <w:tblInd w:w="-72" w:type="dxa"/>
        <w:tblLook w:val="04A0" w:firstRow="1" w:lastRow="0" w:firstColumn="1" w:lastColumn="0" w:noHBand="0" w:noVBand="1"/>
      </w:tblPr>
      <w:tblGrid>
        <w:gridCol w:w="627"/>
        <w:gridCol w:w="3405"/>
        <w:gridCol w:w="616"/>
        <w:gridCol w:w="587"/>
        <w:gridCol w:w="616"/>
        <w:gridCol w:w="573"/>
        <w:gridCol w:w="587"/>
        <w:gridCol w:w="647"/>
        <w:gridCol w:w="570"/>
        <w:gridCol w:w="616"/>
        <w:gridCol w:w="570"/>
      </w:tblGrid>
      <w:tr w:rsidR="00534670" w:rsidTr="00E9312A">
        <w:tc>
          <w:tcPr>
            <w:tcW w:w="627" w:type="dxa"/>
            <w:shd w:val="clear" w:color="auto" w:fill="FF0000"/>
          </w:tcPr>
          <w:p w:rsidR="00534670" w:rsidRPr="00E9312A" w:rsidRDefault="00534670" w:rsidP="00534670">
            <w:pPr>
              <w:rPr>
                <w:b/>
                <w:color w:val="FDE9D9" w:themeColor="accent6" w:themeTint="33"/>
                <w:sz w:val="20"/>
                <w:szCs w:val="20"/>
              </w:rPr>
            </w:pPr>
            <w:r w:rsidRPr="00E9312A">
              <w:rPr>
                <w:b/>
                <w:color w:val="FDE9D9" w:themeColor="accent6" w:themeTint="33"/>
                <w:sz w:val="20"/>
                <w:szCs w:val="20"/>
              </w:rPr>
              <w:t>No.</w:t>
            </w:r>
          </w:p>
        </w:tc>
        <w:tc>
          <w:tcPr>
            <w:tcW w:w="3405" w:type="dxa"/>
            <w:shd w:val="clear" w:color="auto" w:fill="FF0000"/>
          </w:tcPr>
          <w:p w:rsidR="00534670" w:rsidRPr="00E9312A" w:rsidRDefault="00534670" w:rsidP="00534670">
            <w:pPr>
              <w:rPr>
                <w:b/>
                <w:color w:val="FDE9D9" w:themeColor="accent6" w:themeTint="33"/>
                <w:sz w:val="20"/>
                <w:szCs w:val="20"/>
              </w:rPr>
            </w:pPr>
            <w:r w:rsidRPr="00E9312A">
              <w:rPr>
                <w:b/>
                <w:color w:val="FDE9D9" w:themeColor="accent6" w:themeTint="33"/>
                <w:sz w:val="20"/>
                <w:szCs w:val="20"/>
              </w:rPr>
              <w:t>Thematic priority/programme</w:t>
            </w:r>
          </w:p>
        </w:tc>
        <w:tc>
          <w:tcPr>
            <w:tcW w:w="616" w:type="dxa"/>
            <w:shd w:val="clear" w:color="auto" w:fill="FF0000"/>
          </w:tcPr>
          <w:p w:rsidR="00534670" w:rsidRPr="00E9312A" w:rsidRDefault="00534670" w:rsidP="00534670">
            <w:pPr>
              <w:rPr>
                <w:b/>
                <w:color w:val="FDE9D9" w:themeColor="accent6" w:themeTint="33"/>
                <w:sz w:val="18"/>
                <w:szCs w:val="18"/>
              </w:rPr>
            </w:pPr>
            <w:r w:rsidRPr="00E9312A">
              <w:rPr>
                <w:b/>
                <w:color w:val="FDE9D9" w:themeColor="accent6" w:themeTint="33"/>
                <w:sz w:val="18"/>
                <w:szCs w:val="18"/>
              </w:rPr>
              <w:t>AL-MNE</w:t>
            </w:r>
          </w:p>
        </w:tc>
        <w:tc>
          <w:tcPr>
            <w:tcW w:w="587" w:type="dxa"/>
            <w:shd w:val="clear" w:color="auto" w:fill="FF0000"/>
          </w:tcPr>
          <w:p w:rsidR="00534670" w:rsidRPr="00E9312A" w:rsidRDefault="00534670" w:rsidP="00534670">
            <w:pPr>
              <w:rPr>
                <w:b/>
                <w:color w:val="FDE9D9" w:themeColor="accent6" w:themeTint="33"/>
                <w:sz w:val="18"/>
                <w:szCs w:val="18"/>
              </w:rPr>
            </w:pPr>
            <w:r w:rsidRPr="00E9312A">
              <w:rPr>
                <w:b/>
                <w:color w:val="FDE9D9" w:themeColor="accent6" w:themeTint="33"/>
                <w:sz w:val="18"/>
                <w:szCs w:val="18"/>
              </w:rPr>
              <w:t>AL-KSV</w:t>
            </w:r>
          </w:p>
        </w:tc>
        <w:tc>
          <w:tcPr>
            <w:tcW w:w="616" w:type="dxa"/>
            <w:shd w:val="clear" w:color="auto" w:fill="FF0000"/>
          </w:tcPr>
          <w:p w:rsidR="00534670" w:rsidRPr="00E9312A" w:rsidRDefault="00534670" w:rsidP="00534670">
            <w:pPr>
              <w:rPr>
                <w:b/>
                <w:color w:val="FDE9D9" w:themeColor="accent6" w:themeTint="33"/>
                <w:sz w:val="18"/>
                <w:szCs w:val="18"/>
              </w:rPr>
            </w:pPr>
            <w:r w:rsidRPr="00E9312A">
              <w:rPr>
                <w:b/>
                <w:color w:val="FDE9D9" w:themeColor="accent6" w:themeTint="33"/>
                <w:sz w:val="18"/>
                <w:szCs w:val="18"/>
              </w:rPr>
              <w:t>BiH-MNE</w:t>
            </w:r>
          </w:p>
        </w:tc>
        <w:tc>
          <w:tcPr>
            <w:tcW w:w="573" w:type="dxa"/>
            <w:shd w:val="clear" w:color="auto" w:fill="FF0000"/>
          </w:tcPr>
          <w:p w:rsidR="00534670" w:rsidRPr="00E9312A" w:rsidRDefault="00534670" w:rsidP="00534670">
            <w:pPr>
              <w:rPr>
                <w:b/>
                <w:color w:val="FDE9D9" w:themeColor="accent6" w:themeTint="33"/>
                <w:sz w:val="18"/>
                <w:szCs w:val="18"/>
              </w:rPr>
            </w:pPr>
            <w:r w:rsidRPr="00E9312A">
              <w:rPr>
                <w:b/>
                <w:color w:val="FDE9D9" w:themeColor="accent6" w:themeTint="33"/>
                <w:sz w:val="18"/>
                <w:szCs w:val="18"/>
              </w:rPr>
              <w:t>MK-AL</w:t>
            </w:r>
          </w:p>
        </w:tc>
        <w:tc>
          <w:tcPr>
            <w:tcW w:w="587" w:type="dxa"/>
            <w:shd w:val="clear" w:color="auto" w:fill="FF0000"/>
          </w:tcPr>
          <w:p w:rsidR="00534670" w:rsidRPr="00E9312A" w:rsidRDefault="00534670" w:rsidP="00534670">
            <w:pPr>
              <w:rPr>
                <w:b/>
                <w:color w:val="FDE9D9" w:themeColor="accent6" w:themeTint="33"/>
                <w:sz w:val="18"/>
                <w:szCs w:val="18"/>
              </w:rPr>
            </w:pPr>
            <w:r w:rsidRPr="00E9312A">
              <w:rPr>
                <w:b/>
                <w:color w:val="FDE9D9" w:themeColor="accent6" w:themeTint="33"/>
                <w:sz w:val="18"/>
                <w:szCs w:val="18"/>
              </w:rPr>
              <w:t>MK-KSV</w:t>
            </w:r>
          </w:p>
        </w:tc>
        <w:tc>
          <w:tcPr>
            <w:tcW w:w="647" w:type="dxa"/>
            <w:shd w:val="clear" w:color="auto" w:fill="FF0000"/>
          </w:tcPr>
          <w:p w:rsidR="00534670" w:rsidRPr="00E9312A" w:rsidRDefault="00534670" w:rsidP="00534670">
            <w:pPr>
              <w:rPr>
                <w:b/>
                <w:color w:val="FDE9D9" w:themeColor="accent6" w:themeTint="33"/>
                <w:sz w:val="18"/>
                <w:szCs w:val="18"/>
              </w:rPr>
            </w:pPr>
            <w:r w:rsidRPr="00E9312A">
              <w:rPr>
                <w:b/>
                <w:color w:val="FDE9D9" w:themeColor="accent6" w:themeTint="33"/>
                <w:sz w:val="18"/>
                <w:szCs w:val="18"/>
              </w:rPr>
              <w:t>KSV-MNE</w:t>
            </w:r>
          </w:p>
        </w:tc>
        <w:tc>
          <w:tcPr>
            <w:tcW w:w="570" w:type="dxa"/>
            <w:shd w:val="clear" w:color="auto" w:fill="FF0000"/>
          </w:tcPr>
          <w:p w:rsidR="00534670" w:rsidRPr="00E9312A" w:rsidRDefault="00534670" w:rsidP="00534670">
            <w:pPr>
              <w:rPr>
                <w:b/>
                <w:color w:val="FDE9D9" w:themeColor="accent6" w:themeTint="33"/>
                <w:sz w:val="18"/>
                <w:szCs w:val="18"/>
              </w:rPr>
            </w:pPr>
            <w:r w:rsidRPr="00E9312A">
              <w:rPr>
                <w:b/>
                <w:color w:val="FDE9D9" w:themeColor="accent6" w:themeTint="33"/>
                <w:sz w:val="18"/>
                <w:szCs w:val="18"/>
              </w:rPr>
              <w:t>RS-BiH</w:t>
            </w:r>
          </w:p>
        </w:tc>
        <w:tc>
          <w:tcPr>
            <w:tcW w:w="616" w:type="dxa"/>
            <w:shd w:val="clear" w:color="auto" w:fill="FF0000"/>
          </w:tcPr>
          <w:p w:rsidR="00534670" w:rsidRPr="00E9312A" w:rsidRDefault="00534670" w:rsidP="00534670">
            <w:pPr>
              <w:rPr>
                <w:b/>
                <w:color w:val="FDE9D9" w:themeColor="accent6" w:themeTint="33"/>
                <w:sz w:val="18"/>
                <w:szCs w:val="18"/>
              </w:rPr>
            </w:pPr>
            <w:r w:rsidRPr="00E9312A">
              <w:rPr>
                <w:b/>
                <w:color w:val="FDE9D9" w:themeColor="accent6" w:themeTint="33"/>
                <w:sz w:val="18"/>
                <w:szCs w:val="18"/>
              </w:rPr>
              <w:t>RS-MNE</w:t>
            </w:r>
          </w:p>
        </w:tc>
        <w:tc>
          <w:tcPr>
            <w:tcW w:w="570" w:type="dxa"/>
            <w:shd w:val="clear" w:color="auto" w:fill="FF0000"/>
          </w:tcPr>
          <w:p w:rsidR="00534670" w:rsidRPr="00E9312A" w:rsidRDefault="00534670" w:rsidP="00534670">
            <w:pPr>
              <w:rPr>
                <w:b/>
                <w:color w:val="FDE9D9" w:themeColor="accent6" w:themeTint="33"/>
                <w:sz w:val="18"/>
                <w:szCs w:val="18"/>
              </w:rPr>
            </w:pPr>
            <w:r w:rsidRPr="00E9312A">
              <w:rPr>
                <w:b/>
                <w:color w:val="FDE9D9" w:themeColor="accent6" w:themeTint="33"/>
                <w:sz w:val="18"/>
                <w:szCs w:val="18"/>
              </w:rPr>
              <w:t>RS-MK</w:t>
            </w:r>
          </w:p>
        </w:tc>
      </w:tr>
      <w:tr w:rsidR="00534670" w:rsidTr="00871B86">
        <w:tc>
          <w:tcPr>
            <w:tcW w:w="627" w:type="dxa"/>
            <w:shd w:val="clear" w:color="auto" w:fill="F2F2F2" w:themeFill="background1" w:themeFillShade="F2"/>
          </w:tcPr>
          <w:p w:rsidR="00534670" w:rsidRPr="005B149E" w:rsidRDefault="00534670" w:rsidP="00534670">
            <w:pPr>
              <w:rPr>
                <w:sz w:val="18"/>
                <w:szCs w:val="18"/>
              </w:rPr>
            </w:pPr>
            <w:r w:rsidRPr="005B149E">
              <w:rPr>
                <w:sz w:val="18"/>
                <w:szCs w:val="18"/>
              </w:rPr>
              <w:t>TP 1</w:t>
            </w:r>
          </w:p>
        </w:tc>
        <w:tc>
          <w:tcPr>
            <w:tcW w:w="3405" w:type="dxa"/>
            <w:shd w:val="clear" w:color="auto" w:fill="F2F2F2" w:themeFill="background1" w:themeFillShade="F2"/>
          </w:tcPr>
          <w:p w:rsidR="00534670" w:rsidRPr="005B149E" w:rsidRDefault="00534670" w:rsidP="00534670">
            <w:pPr>
              <w:rPr>
                <w:sz w:val="18"/>
                <w:szCs w:val="18"/>
              </w:rPr>
            </w:pPr>
            <w:r w:rsidRPr="005B149E">
              <w:rPr>
                <w:sz w:val="18"/>
                <w:szCs w:val="18"/>
              </w:rPr>
              <w:t>Promoting employment, labour, mobility and social inclusion across the border</w:t>
            </w:r>
          </w:p>
        </w:tc>
        <w:tc>
          <w:tcPr>
            <w:tcW w:w="616" w:type="dxa"/>
            <w:shd w:val="clear" w:color="auto" w:fill="FBD4B4" w:themeFill="accent6" w:themeFillTint="66"/>
          </w:tcPr>
          <w:p w:rsidR="00534670" w:rsidRPr="005B149E" w:rsidRDefault="00534670" w:rsidP="00534670">
            <w:pPr>
              <w:rPr>
                <w:sz w:val="18"/>
                <w:szCs w:val="18"/>
                <w:highlight w:val="green"/>
              </w:rPr>
            </w:pPr>
          </w:p>
        </w:tc>
        <w:tc>
          <w:tcPr>
            <w:tcW w:w="587" w:type="dxa"/>
            <w:shd w:val="clear" w:color="auto" w:fill="F2F2F2" w:themeFill="background1" w:themeFillShade="F2"/>
          </w:tcPr>
          <w:p w:rsidR="00534670" w:rsidRPr="005B149E" w:rsidRDefault="00534670" w:rsidP="00534670">
            <w:pPr>
              <w:rPr>
                <w:sz w:val="18"/>
                <w:szCs w:val="18"/>
              </w:rPr>
            </w:pPr>
          </w:p>
        </w:tc>
        <w:tc>
          <w:tcPr>
            <w:tcW w:w="616" w:type="dxa"/>
            <w:shd w:val="clear" w:color="auto" w:fill="FBD4B4" w:themeFill="accent6" w:themeFillTint="66"/>
          </w:tcPr>
          <w:p w:rsidR="00534670" w:rsidRPr="005B149E" w:rsidRDefault="00534670" w:rsidP="00534670">
            <w:pPr>
              <w:rPr>
                <w:sz w:val="18"/>
                <w:szCs w:val="18"/>
              </w:rPr>
            </w:pPr>
          </w:p>
        </w:tc>
        <w:tc>
          <w:tcPr>
            <w:tcW w:w="573" w:type="dxa"/>
            <w:shd w:val="clear" w:color="auto" w:fill="F2F2F2" w:themeFill="background1" w:themeFillShade="F2"/>
          </w:tcPr>
          <w:p w:rsidR="00534670" w:rsidRPr="005B149E" w:rsidRDefault="00534670" w:rsidP="00534670">
            <w:pPr>
              <w:rPr>
                <w:sz w:val="18"/>
                <w:szCs w:val="18"/>
              </w:rPr>
            </w:pPr>
          </w:p>
        </w:tc>
        <w:tc>
          <w:tcPr>
            <w:tcW w:w="587" w:type="dxa"/>
            <w:shd w:val="clear" w:color="auto" w:fill="F2F2F2" w:themeFill="background1" w:themeFillShade="F2"/>
          </w:tcPr>
          <w:p w:rsidR="00534670" w:rsidRPr="005B149E" w:rsidRDefault="00534670" w:rsidP="00534670">
            <w:pPr>
              <w:rPr>
                <w:sz w:val="18"/>
                <w:szCs w:val="18"/>
              </w:rPr>
            </w:pPr>
          </w:p>
        </w:tc>
        <w:tc>
          <w:tcPr>
            <w:tcW w:w="647" w:type="dxa"/>
            <w:shd w:val="clear" w:color="auto" w:fill="FBD4B4" w:themeFill="accent6" w:themeFillTint="66"/>
          </w:tcPr>
          <w:p w:rsidR="00534670" w:rsidRPr="005B149E" w:rsidRDefault="00534670" w:rsidP="00534670">
            <w:pPr>
              <w:rPr>
                <w:sz w:val="18"/>
                <w:szCs w:val="18"/>
              </w:rPr>
            </w:pPr>
          </w:p>
        </w:tc>
        <w:tc>
          <w:tcPr>
            <w:tcW w:w="570" w:type="dxa"/>
            <w:shd w:val="clear" w:color="auto" w:fill="FBD4B4" w:themeFill="accent6" w:themeFillTint="66"/>
          </w:tcPr>
          <w:p w:rsidR="00534670" w:rsidRPr="005B149E" w:rsidRDefault="00534670" w:rsidP="00534670">
            <w:pPr>
              <w:rPr>
                <w:sz w:val="18"/>
                <w:szCs w:val="18"/>
              </w:rPr>
            </w:pPr>
          </w:p>
        </w:tc>
        <w:tc>
          <w:tcPr>
            <w:tcW w:w="616" w:type="dxa"/>
            <w:shd w:val="clear" w:color="auto" w:fill="FBD4B4" w:themeFill="accent6" w:themeFillTint="66"/>
          </w:tcPr>
          <w:p w:rsidR="00534670" w:rsidRPr="005B149E" w:rsidRDefault="00534670" w:rsidP="00534670">
            <w:pPr>
              <w:rPr>
                <w:sz w:val="18"/>
                <w:szCs w:val="18"/>
              </w:rPr>
            </w:pPr>
          </w:p>
        </w:tc>
        <w:tc>
          <w:tcPr>
            <w:tcW w:w="570" w:type="dxa"/>
            <w:shd w:val="clear" w:color="auto" w:fill="FBD4B4" w:themeFill="accent6" w:themeFillTint="66"/>
          </w:tcPr>
          <w:p w:rsidR="00534670" w:rsidRPr="005B149E" w:rsidRDefault="00534670" w:rsidP="00534670">
            <w:pPr>
              <w:rPr>
                <w:sz w:val="18"/>
                <w:szCs w:val="18"/>
              </w:rPr>
            </w:pPr>
          </w:p>
        </w:tc>
      </w:tr>
      <w:tr w:rsidR="00AC3143" w:rsidTr="006E37EF">
        <w:tc>
          <w:tcPr>
            <w:tcW w:w="627" w:type="dxa"/>
            <w:shd w:val="clear" w:color="auto" w:fill="F2F2F2" w:themeFill="background1" w:themeFillShade="F2"/>
          </w:tcPr>
          <w:p w:rsidR="00AC3143" w:rsidRPr="005B149E" w:rsidRDefault="00AC3143" w:rsidP="00AC3143">
            <w:pPr>
              <w:rPr>
                <w:sz w:val="18"/>
                <w:szCs w:val="18"/>
              </w:rPr>
            </w:pPr>
            <w:r w:rsidRPr="005B149E">
              <w:rPr>
                <w:sz w:val="18"/>
                <w:szCs w:val="18"/>
              </w:rPr>
              <w:t>TP 2</w:t>
            </w:r>
          </w:p>
        </w:tc>
        <w:tc>
          <w:tcPr>
            <w:tcW w:w="3405" w:type="dxa"/>
            <w:shd w:val="clear" w:color="auto" w:fill="F2F2F2" w:themeFill="background1" w:themeFillShade="F2"/>
          </w:tcPr>
          <w:p w:rsidR="00AC3143" w:rsidRPr="005B149E" w:rsidRDefault="00AC3143" w:rsidP="00AC3143">
            <w:pPr>
              <w:rPr>
                <w:sz w:val="18"/>
                <w:szCs w:val="18"/>
              </w:rPr>
            </w:pPr>
            <w:r w:rsidRPr="005B149E">
              <w:rPr>
                <w:sz w:val="18"/>
                <w:szCs w:val="18"/>
              </w:rPr>
              <w:t>Protecting the environment, promoting climate change adaptation and migration, risk prevention and management</w:t>
            </w:r>
          </w:p>
        </w:tc>
        <w:tc>
          <w:tcPr>
            <w:tcW w:w="616" w:type="dxa"/>
            <w:shd w:val="clear" w:color="auto" w:fill="FBD4B4" w:themeFill="accent6" w:themeFillTint="66"/>
          </w:tcPr>
          <w:p w:rsidR="00AC3143" w:rsidRPr="005B149E" w:rsidRDefault="00AC3143" w:rsidP="00AC3143">
            <w:pPr>
              <w:rPr>
                <w:sz w:val="18"/>
                <w:szCs w:val="18"/>
                <w:highlight w:val="green"/>
              </w:rPr>
            </w:pPr>
          </w:p>
        </w:tc>
        <w:tc>
          <w:tcPr>
            <w:tcW w:w="587" w:type="dxa"/>
            <w:shd w:val="clear" w:color="auto" w:fill="FBD4B4" w:themeFill="accent6" w:themeFillTint="66"/>
          </w:tcPr>
          <w:p w:rsidR="00AC3143" w:rsidRPr="005B149E" w:rsidRDefault="00AC3143" w:rsidP="00AC3143">
            <w:pPr>
              <w:rPr>
                <w:sz w:val="18"/>
                <w:szCs w:val="18"/>
              </w:rPr>
            </w:pPr>
          </w:p>
        </w:tc>
        <w:tc>
          <w:tcPr>
            <w:tcW w:w="616" w:type="dxa"/>
            <w:shd w:val="clear" w:color="auto" w:fill="FBD4B4" w:themeFill="accent6" w:themeFillTint="66"/>
          </w:tcPr>
          <w:p w:rsidR="00AC3143" w:rsidRPr="005B149E" w:rsidRDefault="00AC3143" w:rsidP="00AC3143">
            <w:pPr>
              <w:rPr>
                <w:sz w:val="18"/>
                <w:szCs w:val="18"/>
              </w:rPr>
            </w:pPr>
          </w:p>
        </w:tc>
        <w:tc>
          <w:tcPr>
            <w:tcW w:w="573" w:type="dxa"/>
            <w:shd w:val="clear" w:color="auto" w:fill="FBD4B4" w:themeFill="accent6" w:themeFillTint="66"/>
          </w:tcPr>
          <w:p w:rsidR="00AC3143" w:rsidRPr="005B149E" w:rsidRDefault="00AC3143" w:rsidP="00AC3143">
            <w:pPr>
              <w:rPr>
                <w:sz w:val="18"/>
                <w:szCs w:val="18"/>
              </w:rPr>
            </w:pPr>
          </w:p>
        </w:tc>
        <w:tc>
          <w:tcPr>
            <w:tcW w:w="587" w:type="dxa"/>
            <w:shd w:val="clear" w:color="auto" w:fill="FBD4B4" w:themeFill="accent6" w:themeFillTint="66"/>
          </w:tcPr>
          <w:p w:rsidR="00AC3143" w:rsidRPr="005B149E" w:rsidRDefault="00AC3143" w:rsidP="00AC3143">
            <w:pPr>
              <w:rPr>
                <w:sz w:val="18"/>
                <w:szCs w:val="18"/>
              </w:rPr>
            </w:pPr>
          </w:p>
        </w:tc>
        <w:tc>
          <w:tcPr>
            <w:tcW w:w="647" w:type="dxa"/>
            <w:shd w:val="clear" w:color="auto" w:fill="FBD4B4" w:themeFill="accent6" w:themeFillTint="66"/>
          </w:tcPr>
          <w:p w:rsidR="00AC3143" w:rsidRPr="005B149E" w:rsidRDefault="00AC3143" w:rsidP="00AC3143">
            <w:pPr>
              <w:rPr>
                <w:sz w:val="18"/>
                <w:szCs w:val="18"/>
              </w:rPr>
            </w:pPr>
          </w:p>
        </w:tc>
        <w:tc>
          <w:tcPr>
            <w:tcW w:w="570" w:type="dxa"/>
            <w:shd w:val="clear" w:color="auto" w:fill="FBD4B4" w:themeFill="accent6" w:themeFillTint="66"/>
          </w:tcPr>
          <w:p w:rsidR="00AC3143" w:rsidRPr="005B149E" w:rsidRDefault="00AC3143" w:rsidP="00AC3143">
            <w:pPr>
              <w:rPr>
                <w:sz w:val="18"/>
                <w:szCs w:val="18"/>
              </w:rPr>
            </w:pPr>
          </w:p>
        </w:tc>
        <w:tc>
          <w:tcPr>
            <w:tcW w:w="616" w:type="dxa"/>
            <w:shd w:val="clear" w:color="auto" w:fill="FBD4B4" w:themeFill="accent6" w:themeFillTint="66"/>
          </w:tcPr>
          <w:p w:rsidR="00AC3143" w:rsidRPr="005B149E" w:rsidRDefault="00AC3143" w:rsidP="00AC3143">
            <w:pPr>
              <w:rPr>
                <w:sz w:val="18"/>
                <w:szCs w:val="18"/>
              </w:rPr>
            </w:pPr>
          </w:p>
        </w:tc>
        <w:tc>
          <w:tcPr>
            <w:tcW w:w="570" w:type="dxa"/>
            <w:shd w:val="clear" w:color="auto" w:fill="F2F2F2" w:themeFill="background1" w:themeFillShade="F2"/>
          </w:tcPr>
          <w:p w:rsidR="00AC3143" w:rsidRPr="005B149E" w:rsidRDefault="00AC3143" w:rsidP="00AC3143">
            <w:pPr>
              <w:rPr>
                <w:sz w:val="18"/>
                <w:szCs w:val="18"/>
              </w:rPr>
            </w:pPr>
          </w:p>
        </w:tc>
      </w:tr>
      <w:tr w:rsidR="00AC3143" w:rsidTr="00E9312A">
        <w:tc>
          <w:tcPr>
            <w:tcW w:w="627" w:type="dxa"/>
            <w:shd w:val="clear" w:color="auto" w:fill="F2F2F2" w:themeFill="background1" w:themeFillShade="F2"/>
          </w:tcPr>
          <w:p w:rsidR="00AC3143" w:rsidRPr="005B149E" w:rsidRDefault="00AC3143" w:rsidP="00AC3143">
            <w:pPr>
              <w:rPr>
                <w:sz w:val="18"/>
                <w:szCs w:val="18"/>
              </w:rPr>
            </w:pPr>
            <w:r w:rsidRPr="005B149E">
              <w:rPr>
                <w:sz w:val="18"/>
                <w:szCs w:val="18"/>
              </w:rPr>
              <w:t>TP 3</w:t>
            </w:r>
          </w:p>
        </w:tc>
        <w:tc>
          <w:tcPr>
            <w:tcW w:w="3405" w:type="dxa"/>
            <w:shd w:val="clear" w:color="auto" w:fill="F2F2F2" w:themeFill="background1" w:themeFillShade="F2"/>
          </w:tcPr>
          <w:p w:rsidR="00AC3143" w:rsidRPr="005B149E" w:rsidRDefault="00AC3143" w:rsidP="00AC3143">
            <w:pPr>
              <w:rPr>
                <w:sz w:val="18"/>
                <w:szCs w:val="18"/>
              </w:rPr>
            </w:pPr>
            <w:r w:rsidRPr="005B149E">
              <w:rPr>
                <w:sz w:val="18"/>
                <w:szCs w:val="18"/>
              </w:rPr>
              <w:t>Promoting sustainable transport and improving public infrastructures</w:t>
            </w:r>
          </w:p>
        </w:tc>
        <w:tc>
          <w:tcPr>
            <w:tcW w:w="616" w:type="dxa"/>
            <w:shd w:val="clear" w:color="auto" w:fill="F2F2F2" w:themeFill="background1" w:themeFillShade="F2"/>
          </w:tcPr>
          <w:p w:rsidR="00AC3143" w:rsidRDefault="00AC3143" w:rsidP="00AC3143">
            <w:pPr>
              <w:rPr>
                <w:rFonts w:ascii="Arial" w:hAnsi="Arial" w:cs="Arial"/>
                <w:b/>
              </w:rPr>
            </w:pPr>
          </w:p>
        </w:tc>
        <w:tc>
          <w:tcPr>
            <w:tcW w:w="587" w:type="dxa"/>
            <w:shd w:val="clear" w:color="auto" w:fill="F2F2F2" w:themeFill="background1" w:themeFillShade="F2"/>
          </w:tcPr>
          <w:p w:rsidR="00AC3143" w:rsidRDefault="00AC3143" w:rsidP="00AC3143">
            <w:pPr>
              <w:rPr>
                <w:rFonts w:ascii="Arial" w:hAnsi="Arial" w:cs="Arial"/>
                <w:b/>
              </w:rPr>
            </w:pPr>
          </w:p>
        </w:tc>
        <w:tc>
          <w:tcPr>
            <w:tcW w:w="616" w:type="dxa"/>
            <w:shd w:val="clear" w:color="auto" w:fill="F2F2F2" w:themeFill="background1" w:themeFillShade="F2"/>
          </w:tcPr>
          <w:p w:rsidR="00AC3143" w:rsidRDefault="00AC3143" w:rsidP="00AC3143">
            <w:pPr>
              <w:rPr>
                <w:rFonts w:ascii="Arial" w:hAnsi="Arial" w:cs="Arial"/>
                <w:b/>
              </w:rPr>
            </w:pPr>
          </w:p>
        </w:tc>
        <w:tc>
          <w:tcPr>
            <w:tcW w:w="573" w:type="dxa"/>
            <w:shd w:val="clear" w:color="auto" w:fill="F2F2F2" w:themeFill="background1" w:themeFillShade="F2"/>
          </w:tcPr>
          <w:p w:rsidR="00AC3143" w:rsidRDefault="00AC3143" w:rsidP="00AC3143">
            <w:pPr>
              <w:rPr>
                <w:rFonts w:ascii="Arial" w:hAnsi="Arial" w:cs="Arial"/>
                <w:b/>
              </w:rPr>
            </w:pPr>
          </w:p>
        </w:tc>
        <w:tc>
          <w:tcPr>
            <w:tcW w:w="587" w:type="dxa"/>
            <w:shd w:val="clear" w:color="auto" w:fill="F2F2F2" w:themeFill="background1" w:themeFillShade="F2"/>
          </w:tcPr>
          <w:p w:rsidR="00AC3143" w:rsidRDefault="00AC3143" w:rsidP="00AC3143">
            <w:pPr>
              <w:rPr>
                <w:rFonts w:ascii="Arial" w:hAnsi="Arial" w:cs="Arial"/>
                <w:b/>
              </w:rPr>
            </w:pPr>
          </w:p>
        </w:tc>
        <w:tc>
          <w:tcPr>
            <w:tcW w:w="647" w:type="dxa"/>
            <w:shd w:val="clear" w:color="auto" w:fill="F2F2F2" w:themeFill="background1" w:themeFillShade="F2"/>
          </w:tcPr>
          <w:p w:rsidR="00AC3143" w:rsidRDefault="00AC3143" w:rsidP="00AC3143">
            <w:pPr>
              <w:rPr>
                <w:rFonts w:ascii="Arial" w:hAnsi="Arial" w:cs="Arial"/>
                <w:b/>
              </w:rPr>
            </w:pPr>
          </w:p>
        </w:tc>
        <w:tc>
          <w:tcPr>
            <w:tcW w:w="570" w:type="dxa"/>
            <w:shd w:val="clear" w:color="auto" w:fill="F2F2F2" w:themeFill="background1" w:themeFillShade="F2"/>
          </w:tcPr>
          <w:p w:rsidR="00AC3143" w:rsidRDefault="00AC3143" w:rsidP="00AC3143">
            <w:pPr>
              <w:rPr>
                <w:rFonts w:ascii="Arial" w:hAnsi="Arial" w:cs="Arial"/>
                <w:b/>
              </w:rPr>
            </w:pPr>
          </w:p>
        </w:tc>
        <w:tc>
          <w:tcPr>
            <w:tcW w:w="616" w:type="dxa"/>
            <w:shd w:val="clear" w:color="auto" w:fill="F2F2F2" w:themeFill="background1" w:themeFillShade="F2"/>
          </w:tcPr>
          <w:p w:rsidR="00AC3143" w:rsidRDefault="00AC3143" w:rsidP="00AC3143">
            <w:pPr>
              <w:rPr>
                <w:rFonts w:ascii="Arial" w:hAnsi="Arial" w:cs="Arial"/>
                <w:b/>
              </w:rPr>
            </w:pPr>
          </w:p>
        </w:tc>
        <w:tc>
          <w:tcPr>
            <w:tcW w:w="570" w:type="dxa"/>
            <w:shd w:val="clear" w:color="auto" w:fill="F2F2F2" w:themeFill="background1" w:themeFillShade="F2"/>
          </w:tcPr>
          <w:p w:rsidR="00AC3143" w:rsidRDefault="00AC3143" w:rsidP="00AC3143">
            <w:pPr>
              <w:rPr>
                <w:rFonts w:ascii="Arial" w:hAnsi="Arial" w:cs="Arial"/>
                <w:b/>
              </w:rPr>
            </w:pPr>
          </w:p>
        </w:tc>
      </w:tr>
      <w:tr w:rsidR="00AC3143" w:rsidTr="006E37EF">
        <w:tc>
          <w:tcPr>
            <w:tcW w:w="627" w:type="dxa"/>
            <w:shd w:val="clear" w:color="auto" w:fill="F2F2F2" w:themeFill="background1" w:themeFillShade="F2"/>
          </w:tcPr>
          <w:p w:rsidR="00AC3143" w:rsidRPr="005B149E" w:rsidRDefault="00AC3143" w:rsidP="00AC3143">
            <w:pPr>
              <w:rPr>
                <w:sz w:val="18"/>
                <w:szCs w:val="18"/>
              </w:rPr>
            </w:pPr>
            <w:r w:rsidRPr="005B149E">
              <w:rPr>
                <w:sz w:val="18"/>
                <w:szCs w:val="18"/>
              </w:rPr>
              <w:t>TP 4</w:t>
            </w:r>
          </w:p>
        </w:tc>
        <w:tc>
          <w:tcPr>
            <w:tcW w:w="3405" w:type="dxa"/>
            <w:shd w:val="clear" w:color="auto" w:fill="F2F2F2" w:themeFill="background1" w:themeFillShade="F2"/>
          </w:tcPr>
          <w:p w:rsidR="00AC3143" w:rsidRPr="005B149E" w:rsidRDefault="00AC3143" w:rsidP="00AC3143">
            <w:pPr>
              <w:rPr>
                <w:sz w:val="18"/>
                <w:szCs w:val="18"/>
              </w:rPr>
            </w:pPr>
            <w:r w:rsidRPr="005B149E">
              <w:rPr>
                <w:sz w:val="18"/>
                <w:szCs w:val="18"/>
              </w:rPr>
              <w:t>Encouraging tourism and cultural and natural heritage</w:t>
            </w:r>
          </w:p>
        </w:tc>
        <w:tc>
          <w:tcPr>
            <w:tcW w:w="616" w:type="dxa"/>
            <w:shd w:val="clear" w:color="auto" w:fill="FBD4B4" w:themeFill="accent6" w:themeFillTint="66"/>
          </w:tcPr>
          <w:p w:rsidR="00AC3143" w:rsidRDefault="00AC3143" w:rsidP="00AC3143">
            <w:pPr>
              <w:rPr>
                <w:rFonts w:ascii="Arial" w:hAnsi="Arial" w:cs="Arial"/>
                <w:b/>
              </w:rPr>
            </w:pPr>
          </w:p>
        </w:tc>
        <w:tc>
          <w:tcPr>
            <w:tcW w:w="587" w:type="dxa"/>
            <w:shd w:val="clear" w:color="auto" w:fill="FBD4B4" w:themeFill="accent6" w:themeFillTint="66"/>
          </w:tcPr>
          <w:p w:rsidR="00AC3143" w:rsidRDefault="00AC3143" w:rsidP="00AC3143">
            <w:pPr>
              <w:rPr>
                <w:rFonts w:ascii="Arial" w:hAnsi="Arial" w:cs="Arial"/>
                <w:b/>
              </w:rPr>
            </w:pPr>
          </w:p>
        </w:tc>
        <w:tc>
          <w:tcPr>
            <w:tcW w:w="616" w:type="dxa"/>
            <w:shd w:val="clear" w:color="auto" w:fill="FBD4B4" w:themeFill="accent6" w:themeFillTint="66"/>
          </w:tcPr>
          <w:p w:rsidR="00AC3143" w:rsidRDefault="00AC3143" w:rsidP="00AC3143">
            <w:pPr>
              <w:rPr>
                <w:rFonts w:ascii="Arial" w:hAnsi="Arial" w:cs="Arial"/>
                <w:b/>
              </w:rPr>
            </w:pPr>
          </w:p>
        </w:tc>
        <w:tc>
          <w:tcPr>
            <w:tcW w:w="573" w:type="dxa"/>
            <w:shd w:val="clear" w:color="auto" w:fill="FBD4B4" w:themeFill="accent6" w:themeFillTint="66"/>
          </w:tcPr>
          <w:p w:rsidR="00AC3143" w:rsidRDefault="00AC3143" w:rsidP="00AC3143">
            <w:pPr>
              <w:rPr>
                <w:rFonts w:ascii="Arial" w:hAnsi="Arial" w:cs="Arial"/>
                <w:b/>
              </w:rPr>
            </w:pPr>
          </w:p>
        </w:tc>
        <w:tc>
          <w:tcPr>
            <w:tcW w:w="587" w:type="dxa"/>
            <w:shd w:val="clear" w:color="auto" w:fill="FBD4B4" w:themeFill="accent6" w:themeFillTint="66"/>
          </w:tcPr>
          <w:p w:rsidR="00AC3143" w:rsidRDefault="00AC3143" w:rsidP="00AC3143">
            <w:pPr>
              <w:rPr>
                <w:rFonts w:ascii="Arial" w:hAnsi="Arial" w:cs="Arial"/>
                <w:b/>
              </w:rPr>
            </w:pPr>
          </w:p>
        </w:tc>
        <w:tc>
          <w:tcPr>
            <w:tcW w:w="647" w:type="dxa"/>
            <w:shd w:val="clear" w:color="auto" w:fill="FBD4B4" w:themeFill="accent6" w:themeFillTint="66"/>
          </w:tcPr>
          <w:p w:rsidR="00AC3143" w:rsidRDefault="00AC3143" w:rsidP="00AC3143">
            <w:pPr>
              <w:rPr>
                <w:rFonts w:ascii="Arial" w:hAnsi="Arial" w:cs="Arial"/>
                <w:b/>
              </w:rPr>
            </w:pPr>
          </w:p>
        </w:tc>
        <w:tc>
          <w:tcPr>
            <w:tcW w:w="570" w:type="dxa"/>
            <w:shd w:val="clear" w:color="auto" w:fill="FBD4B4" w:themeFill="accent6" w:themeFillTint="66"/>
          </w:tcPr>
          <w:p w:rsidR="00AC3143" w:rsidRDefault="00AC3143" w:rsidP="00AC3143">
            <w:pPr>
              <w:rPr>
                <w:rFonts w:ascii="Arial" w:hAnsi="Arial" w:cs="Arial"/>
                <w:b/>
              </w:rPr>
            </w:pPr>
          </w:p>
        </w:tc>
        <w:tc>
          <w:tcPr>
            <w:tcW w:w="616" w:type="dxa"/>
            <w:shd w:val="clear" w:color="auto" w:fill="FBD4B4" w:themeFill="accent6" w:themeFillTint="66"/>
          </w:tcPr>
          <w:p w:rsidR="00AC3143" w:rsidRDefault="00AC3143" w:rsidP="00AC3143">
            <w:pPr>
              <w:rPr>
                <w:rFonts w:ascii="Arial" w:hAnsi="Arial" w:cs="Arial"/>
                <w:b/>
              </w:rPr>
            </w:pPr>
          </w:p>
        </w:tc>
        <w:tc>
          <w:tcPr>
            <w:tcW w:w="570" w:type="dxa"/>
            <w:shd w:val="clear" w:color="auto" w:fill="FBD4B4" w:themeFill="accent6" w:themeFillTint="66"/>
          </w:tcPr>
          <w:p w:rsidR="00AC3143" w:rsidRDefault="00AC3143" w:rsidP="00AC3143">
            <w:pPr>
              <w:rPr>
                <w:rFonts w:ascii="Arial" w:hAnsi="Arial" w:cs="Arial"/>
                <w:b/>
              </w:rPr>
            </w:pPr>
          </w:p>
        </w:tc>
      </w:tr>
      <w:tr w:rsidR="00AC3143" w:rsidTr="00871B86">
        <w:tc>
          <w:tcPr>
            <w:tcW w:w="627" w:type="dxa"/>
            <w:shd w:val="clear" w:color="auto" w:fill="F2F2F2" w:themeFill="background1" w:themeFillShade="F2"/>
          </w:tcPr>
          <w:p w:rsidR="00AC3143" w:rsidRPr="005B149E" w:rsidRDefault="00AC3143" w:rsidP="00AC3143">
            <w:pPr>
              <w:rPr>
                <w:sz w:val="18"/>
                <w:szCs w:val="18"/>
              </w:rPr>
            </w:pPr>
            <w:r w:rsidRPr="005B149E">
              <w:rPr>
                <w:sz w:val="18"/>
                <w:szCs w:val="18"/>
              </w:rPr>
              <w:t>TP 5</w:t>
            </w:r>
          </w:p>
        </w:tc>
        <w:tc>
          <w:tcPr>
            <w:tcW w:w="3405" w:type="dxa"/>
            <w:shd w:val="clear" w:color="auto" w:fill="F2F2F2" w:themeFill="background1" w:themeFillShade="F2"/>
          </w:tcPr>
          <w:p w:rsidR="00AC3143" w:rsidRPr="005B149E" w:rsidRDefault="00AC3143" w:rsidP="00AC3143">
            <w:pPr>
              <w:rPr>
                <w:sz w:val="18"/>
                <w:szCs w:val="18"/>
              </w:rPr>
            </w:pPr>
            <w:r w:rsidRPr="005B149E">
              <w:rPr>
                <w:sz w:val="18"/>
                <w:szCs w:val="18"/>
              </w:rPr>
              <w:t>Investing in youth, education and skills</w:t>
            </w:r>
          </w:p>
        </w:tc>
        <w:tc>
          <w:tcPr>
            <w:tcW w:w="616" w:type="dxa"/>
            <w:shd w:val="clear" w:color="auto" w:fill="F2F2F2" w:themeFill="background1" w:themeFillShade="F2"/>
          </w:tcPr>
          <w:p w:rsidR="00AC3143" w:rsidRDefault="00AC3143" w:rsidP="00AC3143">
            <w:pPr>
              <w:rPr>
                <w:rFonts w:ascii="Arial" w:hAnsi="Arial" w:cs="Arial"/>
                <w:b/>
              </w:rPr>
            </w:pPr>
          </w:p>
        </w:tc>
        <w:tc>
          <w:tcPr>
            <w:tcW w:w="587" w:type="dxa"/>
            <w:shd w:val="clear" w:color="auto" w:fill="FBD4B4" w:themeFill="accent6" w:themeFillTint="66"/>
          </w:tcPr>
          <w:p w:rsidR="00AC3143" w:rsidRDefault="00AC3143" w:rsidP="00AC3143">
            <w:pPr>
              <w:rPr>
                <w:rFonts w:ascii="Arial" w:hAnsi="Arial" w:cs="Arial"/>
                <w:b/>
              </w:rPr>
            </w:pPr>
          </w:p>
        </w:tc>
        <w:tc>
          <w:tcPr>
            <w:tcW w:w="616" w:type="dxa"/>
            <w:shd w:val="clear" w:color="auto" w:fill="F2F2F2" w:themeFill="background1" w:themeFillShade="F2"/>
          </w:tcPr>
          <w:p w:rsidR="00AC3143" w:rsidRDefault="00AC3143" w:rsidP="00AC3143">
            <w:pPr>
              <w:rPr>
                <w:rFonts w:ascii="Arial" w:hAnsi="Arial" w:cs="Arial"/>
                <w:b/>
              </w:rPr>
            </w:pPr>
          </w:p>
        </w:tc>
        <w:tc>
          <w:tcPr>
            <w:tcW w:w="573" w:type="dxa"/>
            <w:shd w:val="clear" w:color="auto" w:fill="F2F2F2" w:themeFill="background1" w:themeFillShade="F2"/>
          </w:tcPr>
          <w:p w:rsidR="00AC3143" w:rsidRDefault="00AC3143" w:rsidP="00AC3143">
            <w:pPr>
              <w:rPr>
                <w:rFonts w:ascii="Arial" w:hAnsi="Arial" w:cs="Arial"/>
                <w:b/>
              </w:rPr>
            </w:pPr>
          </w:p>
        </w:tc>
        <w:tc>
          <w:tcPr>
            <w:tcW w:w="587" w:type="dxa"/>
            <w:shd w:val="clear" w:color="auto" w:fill="F2F2F2" w:themeFill="background1" w:themeFillShade="F2"/>
          </w:tcPr>
          <w:p w:rsidR="00AC3143" w:rsidRDefault="00AC3143" w:rsidP="00AC3143">
            <w:pPr>
              <w:rPr>
                <w:rFonts w:ascii="Arial" w:hAnsi="Arial" w:cs="Arial"/>
                <w:b/>
              </w:rPr>
            </w:pPr>
          </w:p>
        </w:tc>
        <w:tc>
          <w:tcPr>
            <w:tcW w:w="647" w:type="dxa"/>
            <w:shd w:val="clear" w:color="auto" w:fill="F2F2F2" w:themeFill="background1" w:themeFillShade="F2"/>
          </w:tcPr>
          <w:p w:rsidR="00AC3143" w:rsidRDefault="00AC3143" w:rsidP="00AC3143">
            <w:pPr>
              <w:rPr>
                <w:rFonts w:ascii="Arial" w:hAnsi="Arial" w:cs="Arial"/>
                <w:b/>
              </w:rPr>
            </w:pPr>
          </w:p>
        </w:tc>
        <w:tc>
          <w:tcPr>
            <w:tcW w:w="570" w:type="dxa"/>
            <w:shd w:val="clear" w:color="auto" w:fill="F2F2F2" w:themeFill="background1" w:themeFillShade="F2"/>
          </w:tcPr>
          <w:p w:rsidR="00AC3143" w:rsidRDefault="00AC3143" w:rsidP="00AC3143">
            <w:pPr>
              <w:rPr>
                <w:rFonts w:ascii="Arial" w:hAnsi="Arial" w:cs="Arial"/>
                <w:b/>
              </w:rPr>
            </w:pPr>
          </w:p>
        </w:tc>
        <w:tc>
          <w:tcPr>
            <w:tcW w:w="616" w:type="dxa"/>
            <w:shd w:val="clear" w:color="auto" w:fill="F2F2F2" w:themeFill="background1" w:themeFillShade="F2"/>
          </w:tcPr>
          <w:p w:rsidR="00AC3143" w:rsidRDefault="00AC3143" w:rsidP="00AC3143">
            <w:pPr>
              <w:rPr>
                <w:rFonts w:ascii="Arial" w:hAnsi="Arial" w:cs="Arial"/>
                <w:b/>
              </w:rPr>
            </w:pPr>
          </w:p>
        </w:tc>
        <w:tc>
          <w:tcPr>
            <w:tcW w:w="570" w:type="dxa"/>
            <w:shd w:val="clear" w:color="auto" w:fill="F2F2F2" w:themeFill="background1" w:themeFillShade="F2"/>
          </w:tcPr>
          <w:p w:rsidR="00AC3143" w:rsidRDefault="00AC3143" w:rsidP="00AC3143">
            <w:pPr>
              <w:rPr>
                <w:rFonts w:ascii="Arial" w:hAnsi="Arial" w:cs="Arial"/>
                <w:b/>
              </w:rPr>
            </w:pPr>
          </w:p>
        </w:tc>
      </w:tr>
      <w:tr w:rsidR="00AC3143" w:rsidTr="00E9312A">
        <w:tc>
          <w:tcPr>
            <w:tcW w:w="627" w:type="dxa"/>
            <w:shd w:val="clear" w:color="auto" w:fill="F2F2F2" w:themeFill="background1" w:themeFillShade="F2"/>
          </w:tcPr>
          <w:p w:rsidR="00AC3143" w:rsidRPr="005B149E" w:rsidRDefault="00AC3143" w:rsidP="00AC3143">
            <w:pPr>
              <w:rPr>
                <w:sz w:val="18"/>
                <w:szCs w:val="18"/>
              </w:rPr>
            </w:pPr>
            <w:r w:rsidRPr="005B149E">
              <w:rPr>
                <w:sz w:val="18"/>
                <w:szCs w:val="18"/>
              </w:rPr>
              <w:t>TP 6</w:t>
            </w:r>
          </w:p>
        </w:tc>
        <w:tc>
          <w:tcPr>
            <w:tcW w:w="3405" w:type="dxa"/>
            <w:shd w:val="clear" w:color="auto" w:fill="F2F2F2" w:themeFill="background1" w:themeFillShade="F2"/>
          </w:tcPr>
          <w:p w:rsidR="00AC3143" w:rsidRPr="005B149E" w:rsidRDefault="00AC3143" w:rsidP="00AC3143">
            <w:pPr>
              <w:rPr>
                <w:sz w:val="18"/>
                <w:szCs w:val="18"/>
              </w:rPr>
            </w:pPr>
            <w:r w:rsidRPr="005B149E">
              <w:rPr>
                <w:sz w:val="18"/>
                <w:szCs w:val="18"/>
              </w:rPr>
              <w:t>Promoting local and regional governance, planning and administrative capacity building</w:t>
            </w:r>
          </w:p>
        </w:tc>
        <w:tc>
          <w:tcPr>
            <w:tcW w:w="616" w:type="dxa"/>
            <w:shd w:val="clear" w:color="auto" w:fill="F2F2F2" w:themeFill="background1" w:themeFillShade="F2"/>
          </w:tcPr>
          <w:p w:rsidR="00AC3143" w:rsidRDefault="00AC3143" w:rsidP="00AC3143">
            <w:pPr>
              <w:rPr>
                <w:rFonts w:ascii="Arial" w:hAnsi="Arial" w:cs="Arial"/>
                <w:b/>
              </w:rPr>
            </w:pPr>
          </w:p>
        </w:tc>
        <w:tc>
          <w:tcPr>
            <w:tcW w:w="587" w:type="dxa"/>
            <w:shd w:val="clear" w:color="auto" w:fill="F2F2F2" w:themeFill="background1" w:themeFillShade="F2"/>
          </w:tcPr>
          <w:p w:rsidR="00AC3143" w:rsidRDefault="00AC3143" w:rsidP="00AC3143">
            <w:pPr>
              <w:rPr>
                <w:rFonts w:ascii="Arial" w:hAnsi="Arial" w:cs="Arial"/>
                <w:b/>
              </w:rPr>
            </w:pPr>
          </w:p>
        </w:tc>
        <w:tc>
          <w:tcPr>
            <w:tcW w:w="616" w:type="dxa"/>
            <w:shd w:val="clear" w:color="auto" w:fill="F2F2F2" w:themeFill="background1" w:themeFillShade="F2"/>
          </w:tcPr>
          <w:p w:rsidR="00AC3143" w:rsidRDefault="00AC3143" w:rsidP="00AC3143">
            <w:pPr>
              <w:rPr>
                <w:rFonts w:ascii="Arial" w:hAnsi="Arial" w:cs="Arial"/>
                <w:b/>
              </w:rPr>
            </w:pPr>
          </w:p>
        </w:tc>
        <w:tc>
          <w:tcPr>
            <w:tcW w:w="573" w:type="dxa"/>
            <w:shd w:val="clear" w:color="auto" w:fill="F2F2F2" w:themeFill="background1" w:themeFillShade="F2"/>
          </w:tcPr>
          <w:p w:rsidR="00AC3143" w:rsidRDefault="00AC3143" w:rsidP="00AC3143">
            <w:pPr>
              <w:rPr>
                <w:rFonts w:ascii="Arial" w:hAnsi="Arial" w:cs="Arial"/>
                <w:b/>
              </w:rPr>
            </w:pPr>
          </w:p>
        </w:tc>
        <w:tc>
          <w:tcPr>
            <w:tcW w:w="587" w:type="dxa"/>
            <w:shd w:val="clear" w:color="auto" w:fill="F2F2F2" w:themeFill="background1" w:themeFillShade="F2"/>
          </w:tcPr>
          <w:p w:rsidR="00AC3143" w:rsidRDefault="00AC3143" w:rsidP="00AC3143">
            <w:pPr>
              <w:rPr>
                <w:rFonts w:ascii="Arial" w:hAnsi="Arial" w:cs="Arial"/>
                <w:b/>
              </w:rPr>
            </w:pPr>
          </w:p>
        </w:tc>
        <w:tc>
          <w:tcPr>
            <w:tcW w:w="647" w:type="dxa"/>
            <w:shd w:val="clear" w:color="auto" w:fill="F2F2F2" w:themeFill="background1" w:themeFillShade="F2"/>
          </w:tcPr>
          <w:p w:rsidR="00AC3143" w:rsidRDefault="00AC3143" w:rsidP="00AC3143">
            <w:pPr>
              <w:rPr>
                <w:rFonts w:ascii="Arial" w:hAnsi="Arial" w:cs="Arial"/>
                <w:b/>
              </w:rPr>
            </w:pPr>
          </w:p>
        </w:tc>
        <w:tc>
          <w:tcPr>
            <w:tcW w:w="570" w:type="dxa"/>
            <w:shd w:val="clear" w:color="auto" w:fill="F2F2F2" w:themeFill="background1" w:themeFillShade="F2"/>
          </w:tcPr>
          <w:p w:rsidR="00AC3143" w:rsidRDefault="00AC3143" w:rsidP="00AC3143">
            <w:pPr>
              <w:rPr>
                <w:rFonts w:ascii="Arial" w:hAnsi="Arial" w:cs="Arial"/>
                <w:b/>
              </w:rPr>
            </w:pPr>
          </w:p>
        </w:tc>
        <w:tc>
          <w:tcPr>
            <w:tcW w:w="616" w:type="dxa"/>
            <w:shd w:val="clear" w:color="auto" w:fill="F2F2F2" w:themeFill="background1" w:themeFillShade="F2"/>
          </w:tcPr>
          <w:p w:rsidR="00AC3143" w:rsidRDefault="00AC3143" w:rsidP="00AC3143">
            <w:pPr>
              <w:rPr>
                <w:rFonts w:ascii="Arial" w:hAnsi="Arial" w:cs="Arial"/>
                <w:b/>
              </w:rPr>
            </w:pPr>
          </w:p>
        </w:tc>
        <w:tc>
          <w:tcPr>
            <w:tcW w:w="570" w:type="dxa"/>
            <w:shd w:val="clear" w:color="auto" w:fill="F2F2F2" w:themeFill="background1" w:themeFillShade="F2"/>
          </w:tcPr>
          <w:p w:rsidR="00AC3143" w:rsidRDefault="00AC3143" w:rsidP="00AC3143">
            <w:pPr>
              <w:rPr>
                <w:rFonts w:ascii="Arial" w:hAnsi="Arial" w:cs="Arial"/>
                <w:b/>
              </w:rPr>
            </w:pPr>
          </w:p>
        </w:tc>
      </w:tr>
      <w:tr w:rsidR="00AC3143" w:rsidTr="00871B86">
        <w:tc>
          <w:tcPr>
            <w:tcW w:w="627" w:type="dxa"/>
            <w:shd w:val="clear" w:color="auto" w:fill="F2F2F2" w:themeFill="background1" w:themeFillShade="F2"/>
          </w:tcPr>
          <w:p w:rsidR="00AC3143" w:rsidRPr="005B149E" w:rsidRDefault="00AC3143" w:rsidP="00AC3143">
            <w:pPr>
              <w:rPr>
                <w:sz w:val="18"/>
                <w:szCs w:val="18"/>
              </w:rPr>
            </w:pPr>
            <w:r w:rsidRPr="005B149E">
              <w:rPr>
                <w:sz w:val="18"/>
                <w:szCs w:val="18"/>
              </w:rPr>
              <w:t>TP7</w:t>
            </w:r>
          </w:p>
        </w:tc>
        <w:tc>
          <w:tcPr>
            <w:tcW w:w="3405" w:type="dxa"/>
            <w:shd w:val="clear" w:color="auto" w:fill="F2F2F2" w:themeFill="background1" w:themeFillShade="F2"/>
          </w:tcPr>
          <w:p w:rsidR="00AC3143" w:rsidRPr="005B149E" w:rsidRDefault="00AC3143" w:rsidP="00AC3143">
            <w:pPr>
              <w:rPr>
                <w:sz w:val="18"/>
                <w:szCs w:val="18"/>
              </w:rPr>
            </w:pPr>
            <w:r w:rsidRPr="005B149E">
              <w:rPr>
                <w:sz w:val="18"/>
                <w:szCs w:val="18"/>
              </w:rPr>
              <w:t>Enhancing competitiveness, business and SME development, trade and investment</w:t>
            </w:r>
          </w:p>
        </w:tc>
        <w:tc>
          <w:tcPr>
            <w:tcW w:w="616" w:type="dxa"/>
            <w:shd w:val="clear" w:color="auto" w:fill="F2F2F2" w:themeFill="background1" w:themeFillShade="F2"/>
          </w:tcPr>
          <w:p w:rsidR="00AC3143" w:rsidRDefault="00AC3143" w:rsidP="00AC3143">
            <w:pPr>
              <w:rPr>
                <w:rFonts w:ascii="Arial" w:hAnsi="Arial" w:cs="Arial"/>
                <w:b/>
              </w:rPr>
            </w:pPr>
          </w:p>
        </w:tc>
        <w:tc>
          <w:tcPr>
            <w:tcW w:w="587" w:type="dxa"/>
            <w:shd w:val="clear" w:color="auto" w:fill="F2F2F2" w:themeFill="background1" w:themeFillShade="F2"/>
          </w:tcPr>
          <w:p w:rsidR="00AC3143" w:rsidRDefault="00AC3143" w:rsidP="00AC3143">
            <w:pPr>
              <w:rPr>
                <w:rFonts w:ascii="Arial" w:hAnsi="Arial" w:cs="Arial"/>
                <w:b/>
              </w:rPr>
            </w:pPr>
          </w:p>
        </w:tc>
        <w:tc>
          <w:tcPr>
            <w:tcW w:w="616" w:type="dxa"/>
            <w:shd w:val="clear" w:color="auto" w:fill="F2F2F2" w:themeFill="background1" w:themeFillShade="F2"/>
          </w:tcPr>
          <w:p w:rsidR="00AC3143" w:rsidRDefault="00AC3143" w:rsidP="00AC3143">
            <w:pPr>
              <w:rPr>
                <w:rFonts w:ascii="Arial" w:hAnsi="Arial" w:cs="Arial"/>
                <w:b/>
              </w:rPr>
            </w:pPr>
          </w:p>
        </w:tc>
        <w:tc>
          <w:tcPr>
            <w:tcW w:w="573" w:type="dxa"/>
            <w:shd w:val="clear" w:color="auto" w:fill="FBD4B4" w:themeFill="accent6" w:themeFillTint="66"/>
          </w:tcPr>
          <w:p w:rsidR="00AC3143" w:rsidRDefault="00AC3143" w:rsidP="00AC3143">
            <w:pPr>
              <w:rPr>
                <w:rFonts w:ascii="Arial" w:hAnsi="Arial" w:cs="Arial"/>
                <w:b/>
              </w:rPr>
            </w:pPr>
          </w:p>
        </w:tc>
        <w:tc>
          <w:tcPr>
            <w:tcW w:w="587" w:type="dxa"/>
            <w:shd w:val="clear" w:color="auto" w:fill="FBD4B4" w:themeFill="accent6" w:themeFillTint="66"/>
          </w:tcPr>
          <w:p w:rsidR="00AC3143" w:rsidRDefault="00AC3143" w:rsidP="00AC3143">
            <w:pPr>
              <w:rPr>
                <w:rFonts w:ascii="Arial" w:hAnsi="Arial" w:cs="Arial"/>
                <w:b/>
              </w:rPr>
            </w:pPr>
          </w:p>
        </w:tc>
        <w:tc>
          <w:tcPr>
            <w:tcW w:w="647" w:type="dxa"/>
            <w:shd w:val="clear" w:color="auto" w:fill="F2F2F2" w:themeFill="background1" w:themeFillShade="F2"/>
          </w:tcPr>
          <w:p w:rsidR="00AC3143" w:rsidRDefault="00AC3143" w:rsidP="00AC3143">
            <w:pPr>
              <w:rPr>
                <w:rFonts w:ascii="Arial" w:hAnsi="Arial" w:cs="Arial"/>
                <w:b/>
              </w:rPr>
            </w:pPr>
          </w:p>
        </w:tc>
        <w:tc>
          <w:tcPr>
            <w:tcW w:w="570" w:type="dxa"/>
            <w:shd w:val="clear" w:color="auto" w:fill="F2F2F2" w:themeFill="background1" w:themeFillShade="F2"/>
          </w:tcPr>
          <w:p w:rsidR="00AC3143" w:rsidRDefault="00AC3143" w:rsidP="00AC3143">
            <w:pPr>
              <w:rPr>
                <w:rFonts w:ascii="Arial" w:hAnsi="Arial" w:cs="Arial"/>
                <w:b/>
              </w:rPr>
            </w:pPr>
          </w:p>
        </w:tc>
        <w:tc>
          <w:tcPr>
            <w:tcW w:w="616" w:type="dxa"/>
            <w:shd w:val="clear" w:color="auto" w:fill="F2F2F2" w:themeFill="background1" w:themeFillShade="F2"/>
          </w:tcPr>
          <w:p w:rsidR="00AC3143" w:rsidRDefault="00AC3143" w:rsidP="00AC3143">
            <w:pPr>
              <w:rPr>
                <w:rFonts w:ascii="Arial" w:hAnsi="Arial" w:cs="Arial"/>
                <w:b/>
              </w:rPr>
            </w:pPr>
          </w:p>
        </w:tc>
        <w:tc>
          <w:tcPr>
            <w:tcW w:w="570" w:type="dxa"/>
            <w:shd w:val="clear" w:color="auto" w:fill="F2F2F2" w:themeFill="background1" w:themeFillShade="F2"/>
          </w:tcPr>
          <w:p w:rsidR="00AC3143" w:rsidRDefault="00AC3143" w:rsidP="00AC3143">
            <w:pPr>
              <w:rPr>
                <w:rFonts w:ascii="Arial" w:hAnsi="Arial" w:cs="Arial"/>
                <w:b/>
              </w:rPr>
            </w:pPr>
          </w:p>
        </w:tc>
      </w:tr>
      <w:tr w:rsidR="00AC3143" w:rsidTr="00E9312A">
        <w:tc>
          <w:tcPr>
            <w:tcW w:w="627" w:type="dxa"/>
            <w:shd w:val="clear" w:color="auto" w:fill="F2F2F2" w:themeFill="background1" w:themeFillShade="F2"/>
          </w:tcPr>
          <w:p w:rsidR="00AC3143" w:rsidRPr="005B149E" w:rsidRDefault="00AC3143" w:rsidP="00AC3143">
            <w:pPr>
              <w:rPr>
                <w:sz w:val="18"/>
                <w:szCs w:val="18"/>
              </w:rPr>
            </w:pPr>
            <w:r w:rsidRPr="005B149E">
              <w:rPr>
                <w:sz w:val="18"/>
                <w:szCs w:val="18"/>
              </w:rPr>
              <w:t>TP8</w:t>
            </w:r>
          </w:p>
        </w:tc>
        <w:tc>
          <w:tcPr>
            <w:tcW w:w="3405" w:type="dxa"/>
            <w:shd w:val="clear" w:color="auto" w:fill="F2F2F2" w:themeFill="background1" w:themeFillShade="F2"/>
          </w:tcPr>
          <w:p w:rsidR="00AC3143" w:rsidRPr="005B149E" w:rsidRDefault="00AC3143" w:rsidP="00AC3143">
            <w:pPr>
              <w:rPr>
                <w:sz w:val="18"/>
                <w:szCs w:val="18"/>
              </w:rPr>
            </w:pPr>
            <w:r w:rsidRPr="005B149E">
              <w:rPr>
                <w:sz w:val="18"/>
                <w:szCs w:val="18"/>
              </w:rPr>
              <w:t xml:space="preserve">Strengthening research, technological development, innovation and ICT </w:t>
            </w:r>
          </w:p>
        </w:tc>
        <w:tc>
          <w:tcPr>
            <w:tcW w:w="616" w:type="dxa"/>
            <w:shd w:val="clear" w:color="auto" w:fill="F2F2F2" w:themeFill="background1" w:themeFillShade="F2"/>
          </w:tcPr>
          <w:p w:rsidR="00AC3143" w:rsidRDefault="00AC3143" w:rsidP="00AC3143">
            <w:pPr>
              <w:rPr>
                <w:rFonts w:ascii="Arial" w:hAnsi="Arial" w:cs="Arial"/>
                <w:b/>
              </w:rPr>
            </w:pPr>
          </w:p>
        </w:tc>
        <w:tc>
          <w:tcPr>
            <w:tcW w:w="587" w:type="dxa"/>
            <w:shd w:val="clear" w:color="auto" w:fill="F2F2F2" w:themeFill="background1" w:themeFillShade="F2"/>
          </w:tcPr>
          <w:p w:rsidR="00AC3143" w:rsidRDefault="00AC3143" w:rsidP="00AC3143">
            <w:pPr>
              <w:rPr>
                <w:rFonts w:ascii="Arial" w:hAnsi="Arial" w:cs="Arial"/>
                <w:b/>
              </w:rPr>
            </w:pPr>
          </w:p>
        </w:tc>
        <w:tc>
          <w:tcPr>
            <w:tcW w:w="616" w:type="dxa"/>
            <w:shd w:val="clear" w:color="auto" w:fill="F2F2F2" w:themeFill="background1" w:themeFillShade="F2"/>
          </w:tcPr>
          <w:p w:rsidR="00AC3143" w:rsidRDefault="00AC3143" w:rsidP="00AC3143">
            <w:pPr>
              <w:rPr>
                <w:rFonts w:ascii="Arial" w:hAnsi="Arial" w:cs="Arial"/>
                <w:b/>
              </w:rPr>
            </w:pPr>
          </w:p>
        </w:tc>
        <w:tc>
          <w:tcPr>
            <w:tcW w:w="573" w:type="dxa"/>
            <w:shd w:val="clear" w:color="auto" w:fill="F2F2F2" w:themeFill="background1" w:themeFillShade="F2"/>
          </w:tcPr>
          <w:p w:rsidR="00AC3143" w:rsidRDefault="00AC3143" w:rsidP="00AC3143">
            <w:pPr>
              <w:rPr>
                <w:rFonts w:ascii="Arial" w:hAnsi="Arial" w:cs="Arial"/>
                <w:b/>
              </w:rPr>
            </w:pPr>
          </w:p>
        </w:tc>
        <w:tc>
          <w:tcPr>
            <w:tcW w:w="587" w:type="dxa"/>
            <w:shd w:val="clear" w:color="auto" w:fill="F2F2F2" w:themeFill="background1" w:themeFillShade="F2"/>
          </w:tcPr>
          <w:p w:rsidR="00AC3143" w:rsidRDefault="00AC3143" w:rsidP="00AC3143">
            <w:pPr>
              <w:rPr>
                <w:rFonts w:ascii="Arial" w:hAnsi="Arial" w:cs="Arial"/>
                <w:b/>
              </w:rPr>
            </w:pPr>
          </w:p>
        </w:tc>
        <w:tc>
          <w:tcPr>
            <w:tcW w:w="647" w:type="dxa"/>
            <w:shd w:val="clear" w:color="auto" w:fill="F2F2F2" w:themeFill="background1" w:themeFillShade="F2"/>
          </w:tcPr>
          <w:p w:rsidR="00AC3143" w:rsidRDefault="00AC3143" w:rsidP="00AC3143">
            <w:pPr>
              <w:rPr>
                <w:rFonts w:ascii="Arial" w:hAnsi="Arial" w:cs="Arial"/>
                <w:b/>
              </w:rPr>
            </w:pPr>
          </w:p>
        </w:tc>
        <w:tc>
          <w:tcPr>
            <w:tcW w:w="570" w:type="dxa"/>
            <w:shd w:val="clear" w:color="auto" w:fill="F2F2F2" w:themeFill="background1" w:themeFillShade="F2"/>
          </w:tcPr>
          <w:p w:rsidR="00AC3143" w:rsidRDefault="00AC3143" w:rsidP="00AC3143">
            <w:pPr>
              <w:rPr>
                <w:rFonts w:ascii="Arial" w:hAnsi="Arial" w:cs="Arial"/>
                <w:b/>
              </w:rPr>
            </w:pPr>
          </w:p>
        </w:tc>
        <w:tc>
          <w:tcPr>
            <w:tcW w:w="616" w:type="dxa"/>
            <w:shd w:val="clear" w:color="auto" w:fill="F2F2F2" w:themeFill="background1" w:themeFillShade="F2"/>
          </w:tcPr>
          <w:p w:rsidR="00AC3143" w:rsidRDefault="00AC3143" w:rsidP="00AC3143">
            <w:pPr>
              <w:rPr>
                <w:rFonts w:ascii="Arial" w:hAnsi="Arial" w:cs="Arial"/>
                <w:b/>
              </w:rPr>
            </w:pPr>
          </w:p>
        </w:tc>
        <w:tc>
          <w:tcPr>
            <w:tcW w:w="570" w:type="dxa"/>
            <w:shd w:val="clear" w:color="auto" w:fill="F2F2F2" w:themeFill="background1" w:themeFillShade="F2"/>
          </w:tcPr>
          <w:p w:rsidR="00AC3143" w:rsidRDefault="00AC3143" w:rsidP="00AC3143">
            <w:pPr>
              <w:rPr>
                <w:rFonts w:ascii="Arial" w:hAnsi="Arial" w:cs="Arial"/>
                <w:b/>
              </w:rPr>
            </w:pPr>
          </w:p>
        </w:tc>
      </w:tr>
    </w:tbl>
    <w:p w:rsidR="00816952" w:rsidRDefault="00816952" w:rsidP="001B3A34">
      <w:pPr>
        <w:spacing w:after="0" w:line="240" w:lineRule="auto"/>
        <w:rPr>
          <w:rFonts w:ascii="Arial" w:hAnsi="Arial" w:cs="Arial"/>
        </w:rPr>
      </w:pPr>
    </w:p>
    <w:p w:rsidR="0079155B" w:rsidRDefault="0079155B" w:rsidP="001B3A34">
      <w:pPr>
        <w:spacing w:after="0" w:line="240" w:lineRule="auto"/>
        <w:jc w:val="both"/>
        <w:rPr>
          <w:rFonts w:ascii="Arial" w:hAnsi="Arial" w:cs="Arial"/>
        </w:rPr>
      </w:pPr>
    </w:p>
    <w:p w:rsidR="00816952" w:rsidRDefault="00816952" w:rsidP="001B3A34">
      <w:pPr>
        <w:spacing w:after="0" w:line="240" w:lineRule="auto"/>
        <w:jc w:val="both"/>
        <w:rPr>
          <w:rFonts w:ascii="Arial" w:hAnsi="Arial" w:cs="Arial"/>
        </w:rPr>
      </w:pPr>
      <w:r w:rsidRPr="00654535">
        <w:rPr>
          <w:rFonts w:ascii="Arial" w:hAnsi="Arial" w:cs="Arial"/>
        </w:rPr>
        <w:lastRenderedPageBreak/>
        <w:t>In seeking to</w:t>
      </w:r>
      <w:r>
        <w:rPr>
          <w:rFonts w:ascii="Arial" w:hAnsi="Arial" w:cs="Arial"/>
        </w:rPr>
        <w:t xml:space="preserve"> prioritise </w:t>
      </w:r>
      <w:r w:rsidRPr="00654535">
        <w:rPr>
          <w:rFonts w:ascii="Arial" w:hAnsi="Arial" w:cs="Arial"/>
        </w:rPr>
        <w:t xml:space="preserve">the procedural and management issues </w:t>
      </w:r>
      <w:r>
        <w:rPr>
          <w:rFonts w:ascii="Arial" w:hAnsi="Arial" w:cs="Arial"/>
        </w:rPr>
        <w:t>that are of central</w:t>
      </w:r>
      <w:r w:rsidRPr="00654535">
        <w:rPr>
          <w:rFonts w:ascii="Arial" w:hAnsi="Arial" w:cs="Arial"/>
        </w:rPr>
        <w:t xml:space="preserve"> interest in the lessons sharing process, the recent</w:t>
      </w:r>
      <w:r w:rsidRPr="00984B2B">
        <w:rPr>
          <w:rStyle w:val="FootnoteReference"/>
          <w:rFonts w:ascii="Arial" w:hAnsi="Arial" w:cs="Arial"/>
          <w:sz w:val="18"/>
        </w:rPr>
        <w:footnoteReference w:id="16"/>
      </w:r>
      <w:r w:rsidRPr="00654535">
        <w:rPr>
          <w:rFonts w:ascii="Arial" w:hAnsi="Arial" w:cs="Arial"/>
        </w:rPr>
        <w:t xml:space="preserve"> CBIB+ questionnaires for grant beneficiaries of the </w:t>
      </w:r>
      <w:r w:rsidR="00454EAA">
        <w:rPr>
          <w:rFonts w:ascii="Arial" w:hAnsi="Arial" w:cs="Arial"/>
        </w:rPr>
        <w:t>CBC</w:t>
      </w:r>
      <w:r w:rsidRPr="00654535">
        <w:rPr>
          <w:rFonts w:ascii="Arial" w:hAnsi="Arial" w:cs="Arial"/>
        </w:rPr>
        <w:t xml:space="preserve"> </w:t>
      </w:r>
      <w:r w:rsidR="00454EAA">
        <w:rPr>
          <w:rFonts w:ascii="Arial" w:hAnsi="Arial" w:cs="Arial"/>
        </w:rPr>
        <w:t>p</w:t>
      </w:r>
      <w:r w:rsidRPr="00654535">
        <w:rPr>
          <w:rFonts w:ascii="Arial" w:hAnsi="Arial" w:cs="Arial"/>
        </w:rPr>
        <w:t>rogramme MK-AL</w:t>
      </w:r>
      <w:r w:rsidR="004C371D" w:rsidRPr="004C371D">
        <w:rPr>
          <w:rFonts w:ascii="Arial" w:hAnsi="Arial" w:cs="Arial"/>
        </w:rPr>
        <w:t xml:space="preserve"> </w:t>
      </w:r>
      <w:r w:rsidR="004C371D" w:rsidRPr="00654535">
        <w:rPr>
          <w:rFonts w:ascii="Arial" w:hAnsi="Arial" w:cs="Arial"/>
        </w:rPr>
        <w:t xml:space="preserve">could </w:t>
      </w:r>
      <w:r w:rsidR="0079155B">
        <w:rPr>
          <w:rFonts w:ascii="Arial" w:hAnsi="Arial" w:cs="Arial"/>
        </w:rPr>
        <w:t xml:space="preserve">be </w:t>
      </w:r>
      <w:r w:rsidR="004C371D">
        <w:rPr>
          <w:rFonts w:ascii="Arial" w:hAnsi="Arial" w:cs="Arial"/>
        </w:rPr>
        <w:t>use</w:t>
      </w:r>
      <w:r w:rsidR="0079155B">
        <w:rPr>
          <w:rFonts w:ascii="Arial" w:hAnsi="Arial" w:cs="Arial"/>
        </w:rPr>
        <w:t>d</w:t>
      </w:r>
      <w:r w:rsidR="004C371D">
        <w:rPr>
          <w:rFonts w:ascii="Arial" w:hAnsi="Arial" w:cs="Arial"/>
        </w:rPr>
        <w:t xml:space="preserve"> as a reference point</w:t>
      </w:r>
      <w:r w:rsidRPr="00654535">
        <w:rPr>
          <w:rFonts w:ascii="Arial" w:hAnsi="Arial" w:cs="Arial"/>
        </w:rPr>
        <w:t xml:space="preserve">. These </w:t>
      </w:r>
      <w:r w:rsidRPr="00654535">
        <w:rPr>
          <w:rFonts w:ascii="Arial" w:hAnsi="Arial" w:cs="Arial"/>
          <w:i/>
        </w:rPr>
        <w:t>inter alia</w:t>
      </w:r>
      <w:r w:rsidRPr="00654535">
        <w:rPr>
          <w:rFonts w:ascii="Arial" w:hAnsi="Arial" w:cs="Arial"/>
        </w:rPr>
        <w:t xml:space="preserve"> covered:</w:t>
      </w:r>
    </w:p>
    <w:p w:rsidR="0079155B" w:rsidRPr="00654535" w:rsidRDefault="0079155B" w:rsidP="001B3A34">
      <w:pPr>
        <w:spacing w:after="0" w:line="240" w:lineRule="auto"/>
        <w:jc w:val="both"/>
        <w:rPr>
          <w:rFonts w:ascii="Arial" w:hAnsi="Arial" w:cs="Arial"/>
        </w:rPr>
      </w:pPr>
    </w:p>
    <w:p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t>Preparation of grant applications (partner search forums, info sessions, co-financing, etc</w:t>
      </w:r>
      <w:r w:rsidR="0079155B">
        <w:rPr>
          <w:rFonts w:ascii="Arial" w:hAnsi="Arial" w:cs="Arial"/>
        </w:rPr>
        <w:t>.</w:t>
      </w:r>
      <w:r w:rsidRPr="00654535">
        <w:rPr>
          <w:rFonts w:ascii="Arial" w:hAnsi="Arial" w:cs="Arial"/>
        </w:rPr>
        <w:t>)</w:t>
      </w:r>
    </w:p>
    <w:p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t>Implementation of projects (assistance</w:t>
      </w:r>
      <w:r w:rsidR="0079155B">
        <w:rPr>
          <w:rFonts w:ascii="Arial" w:hAnsi="Arial" w:cs="Arial"/>
        </w:rPr>
        <w:t xml:space="preserve"> received, relations with the </w:t>
      </w:r>
      <w:r w:rsidR="00481540">
        <w:rPr>
          <w:rFonts w:ascii="Arial" w:hAnsi="Arial" w:cs="Arial"/>
        </w:rPr>
        <w:t>CA</w:t>
      </w:r>
      <w:r w:rsidRPr="00654535">
        <w:rPr>
          <w:rFonts w:ascii="Arial" w:hAnsi="Arial" w:cs="Arial"/>
        </w:rPr>
        <w:t>, monitoring visits, challenges, lessons, etc</w:t>
      </w:r>
      <w:r w:rsidR="0079155B">
        <w:rPr>
          <w:rFonts w:ascii="Arial" w:hAnsi="Arial" w:cs="Arial"/>
        </w:rPr>
        <w:t>.</w:t>
      </w:r>
      <w:r w:rsidRPr="00654535">
        <w:rPr>
          <w:rFonts w:ascii="Arial" w:hAnsi="Arial" w:cs="Arial"/>
        </w:rPr>
        <w:t>)</w:t>
      </w:r>
    </w:p>
    <w:p w:rsidR="00816952" w:rsidRPr="00654535" w:rsidRDefault="0079155B" w:rsidP="001B3A34">
      <w:pPr>
        <w:pStyle w:val="ListParagraph"/>
        <w:numPr>
          <w:ilvl w:val="0"/>
          <w:numId w:val="25"/>
        </w:numPr>
        <w:spacing w:after="0" w:line="240" w:lineRule="auto"/>
        <w:jc w:val="both"/>
        <w:rPr>
          <w:rFonts w:ascii="Arial" w:hAnsi="Arial" w:cs="Arial"/>
        </w:rPr>
      </w:pPr>
      <w:r>
        <w:rPr>
          <w:rFonts w:ascii="Arial" w:hAnsi="Arial" w:cs="Arial"/>
        </w:rPr>
        <w:t>Improvements to calls for proposals</w:t>
      </w:r>
    </w:p>
    <w:p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t>Assessing the impact of actions on target groups or population of programme area</w:t>
      </w:r>
    </w:p>
    <w:p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t>Good practice in use of indicators to measure success</w:t>
      </w:r>
    </w:p>
    <w:p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t>Good practice in project management and lessons learnt</w:t>
      </w:r>
    </w:p>
    <w:p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t>Internal monitoring mechanisms</w:t>
      </w:r>
    </w:p>
    <w:p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t>Adapting to changes and remedial actions</w:t>
      </w:r>
    </w:p>
    <w:p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t>Changes/improvements in partnership</w:t>
      </w:r>
    </w:p>
    <w:p w:rsidR="00816952" w:rsidRPr="00654535" w:rsidRDefault="00816952" w:rsidP="001B3A34">
      <w:pPr>
        <w:pStyle w:val="ListParagraph"/>
        <w:numPr>
          <w:ilvl w:val="0"/>
          <w:numId w:val="25"/>
        </w:numPr>
        <w:spacing w:after="0" w:line="240" w:lineRule="auto"/>
        <w:jc w:val="both"/>
        <w:rPr>
          <w:rFonts w:ascii="Arial" w:hAnsi="Arial" w:cs="Arial"/>
        </w:rPr>
      </w:pPr>
      <w:r w:rsidRPr="00654535">
        <w:rPr>
          <w:rFonts w:ascii="Arial" w:hAnsi="Arial" w:cs="Arial"/>
        </w:rPr>
        <w:t>Sustainability</w:t>
      </w:r>
      <w:r>
        <w:rPr>
          <w:rFonts w:ascii="Arial" w:hAnsi="Arial" w:cs="Arial"/>
        </w:rPr>
        <w:t>.</w:t>
      </w:r>
    </w:p>
    <w:p w:rsidR="0079155B" w:rsidRDefault="0079155B" w:rsidP="001B3A34">
      <w:pPr>
        <w:pStyle w:val="CommentText"/>
        <w:spacing w:after="0"/>
        <w:jc w:val="both"/>
        <w:rPr>
          <w:rFonts w:ascii="Arial" w:hAnsi="Arial" w:cs="Arial"/>
          <w:sz w:val="22"/>
        </w:rPr>
      </w:pPr>
    </w:p>
    <w:p w:rsidR="004C371D" w:rsidRPr="00AF497F" w:rsidRDefault="004C371D" w:rsidP="001B3A34">
      <w:pPr>
        <w:pStyle w:val="CommentText"/>
        <w:spacing w:after="0"/>
        <w:jc w:val="both"/>
        <w:rPr>
          <w:rFonts w:ascii="Arial" w:hAnsi="Arial" w:cs="Arial"/>
          <w:sz w:val="22"/>
        </w:rPr>
      </w:pPr>
      <w:r w:rsidRPr="00AF497F">
        <w:rPr>
          <w:rFonts w:ascii="Arial" w:hAnsi="Arial" w:cs="Arial"/>
          <w:sz w:val="22"/>
        </w:rPr>
        <w:t xml:space="preserve">Regarding the format of the information to be disseminated, </w:t>
      </w:r>
      <w:r>
        <w:rPr>
          <w:rFonts w:ascii="Arial" w:hAnsi="Arial" w:cs="Arial"/>
          <w:sz w:val="22"/>
        </w:rPr>
        <w:t xml:space="preserve">it should be assumed that there will be two possibilities: </w:t>
      </w:r>
      <w:r w:rsidRPr="00AF497F">
        <w:rPr>
          <w:rFonts w:ascii="Arial" w:hAnsi="Arial" w:cs="Arial"/>
          <w:sz w:val="22"/>
        </w:rPr>
        <w:t xml:space="preserve">dissemination of </w:t>
      </w:r>
      <w:r>
        <w:rPr>
          <w:rFonts w:ascii="Arial" w:hAnsi="Arial" w:cs="Arial"/>
          <w:sz w:val="22"/>
        </w:rPr>
        <w:t xml:space="preserve">relevant </w:t>
      </w:r>
      <w:r w:rsidRPr="00AF497F">
        <w:rPr>
          <w:rFonts w:ascii="Arial" w:hAnsi="Arial" w:cs="Arial"/>
          <w:sz w:val="22"/>
        </w:rPr>
        <w:t xml:space="preserve">raw material </w:t>
      </w:r>
      <w:r w:rsidR="002B6CD2">
        <w:rPr>
          <w:rFonts w:ascii="Arial" w:hAnsi="Arial" w:cs="Arial"/>
          <w:sz w:val="22"/>
        </w:rPr>
        <w:t>and</w:t>
      </w:r>
      <w:r>
        <w:rPr>
          <w:rFonts w:ascii="Arial" w:hAnsi="Arial" w:cs="Arial"/>
          <w:sz w:val="22"/>
        </w:rPr>
        <w:t xml:space="preserve"> </w:t>
      </w:r>
      <w:r w:rsidRPr="00AF497F">
        <w:rPr>
          <w:rFonts w:ascii="Arial" w:hAnsi="Arial" w:cs="Arial"/>
          <w:sz w:val="22"/>
        </w:rPr>
        <w:t xml:space="preserve">dissemination of the analysis processed by the CBIB+2 team and </w:t>
      </w:r>
      <w:r w:rsidR="0079155B">
        <w:rPr>
          <w:rFonts w:ascii="Arial" w:hAnsi="Arial" w:cs="Arial"/>
          <w:sz w:val="22"/>
        </w:rPr>
        <w:t xml:space="preserve">the </w:t>
      </w:r>
      <w:r w:rsidRPr="00AF497F">
        <w:rPr>
          <w:rFonts w:ascii="Arial" w:hAnsi="Arial" w:cs="Arial"/>
          <w:sz w:val="22"/>
        </w:rPr>
        <w:t>TWG.</w:t>
      </w:r>
      <w:r>
        <w:rPr>
          <w:rFonts w:ascii="Arial" w:hAnsi="Arial" w:cs="Arial"/>
          <w:sz w:val="22"/>
        </w:rPr>
        <w:t xml:space="preserve"> The most appropriate </w:t>
      </w:r>
      <w:r w:rsidR="001F54D0" w:rsidRPr="00AF497F">
        <w:rPr>
          <w:rFonts w:ascii="Arial" w:hAnsi="Arial" w:cs="Arial"/>
          <w:sz w:val="22"/>
        </w:rPr>
        <w:t>dissemination tool</w:t>
      </w:r>
      <w:r w:rsidR="002B6CD2">
        <w:rPr>
          <w:rFonts w:ascii="Arial" w:hAnsi="Arial" w:cs="Arial"/>
          <w:sz w:val="22"/>
        </w:rPr>
        <w:t xml:space="preserve">(s) and format </w:t>
      </w:r>
      <w:r>
        <w:rPr>
          <w:rFonts w:ascii="Arial" w:hAnsi="Arial" w:cs="Arial"/>
          <w:sz w:val="22"/>
        </w:rPr>
        <w:t>will be decided on a case-by-case basis taking into account the needs of particular target groups.</w:t>
      </w:r>
    </w:p>
    <w:p w:rsidR="001F54D0" w:rsidRDefault="001F54D0" w:rsidP="001B3A34">
      <w:pPr>
        <w:spacing w:after="0" w:line="240" w:lineRule="auto"/>
        <w:jc w:val="both"/>
        <w:rPr>
          <w:rFonts w:ascii="Arial" w:hAnsi="Arial" w:cs="Arial"/>
        </w:rPr>
      </w:pPr>
    </w:p>
    <w:p w:rsidR="0079155B" w:rsidRDefault="0079155B" w:rsidP="001B3A34">
      <w:pPr>
        <w:spacing w:after="0" w:line="240" w:lineRule="auto"/>
        <w:jc w:val="both"/>
        <w:rPr>
          <w:rFonts w:ascii="Arial" w:hAnsi="Arial" w:cs="Arial"/>
        </w:rPr>
      </w:pPr>
    </w:p>
    <w:p w:rsidR="00E66891" w:rsidRPr="00263452" w:rsidRDefault="00383948" w:rsidP="001B3A34">
      <w:pPr>
        <w:pStyle w:val="Heading1"/>
        <w:spacing w:before="0" w:line="240" w:lineRule="auto"/>
      </w:pPr>
      <w:bookmarkStart w:id="11" w:name="_Toc465088537"/>
      <w:r>
        <w:t>6</w:t>
      </w:r>
      <w:r w:rsidR="001B3A34">
        <w:t xml:space="preserve">. </w:t>
      </w:r>
      <w:r w:rsidR="00E66891" w:rsidRPr="00263452">
        <w:t>Target groups</w:t>
      </w:r>
      <w:bookmarkEnd w:id="11"/>
    </w:p>
    <w:p w:rsidR="001B3A34" w:rsidRDefault="001B3A34" w:rsidP="001B3A34">
      <w:pPr>
        <w:spacing w:after="0" w:line="240" w:lineRule="auto"/>
        <w:jc w:val="both"/>
        <w:rPr>
          <w:rFonts w:ascii="Arial" w:hAnsi="Arial" w:cs="Arial"/>
        </w:rPr>
      </w:pPr>
    </w:p>
    <w:p w:rsidR="00276BAC" w:rsidRPr="00263452" w:rsidRDefault="00133A62" w:rsidP="001B3A34">
      <w:pPr>
        <w:spacing w:after="0" w:line="240" w:lineRule="auto"/>
        <w:jc w:val="both"/>
        <w:rPr>
          <w:rFonts w:ascii="Arial" w:hAnsi="Arial" w:cs="Arial"/>
        </w:rPr>
      </w:pPr>
      <w:r w:rsidRPr="00263452">
        <w:rPr>
          <w:rFonts w:ascii="Arial" w:hAnsi="Arial" w:cs="Arial"/>
        </w:rPr>
        <w:t xml:space="preserve">The </w:t>
      </w:r>
      <w:r w:rsidR="00762CE1" w:rsidRPr="00263452">
        <w:rPr>
          <w:rFonts w:ascii="Arial" w:hAnsi="Arial" w:cs="Arial"/>
        </w:rPr>
        <w:t xml:space="preserve">strategy </w:t>
      </w:r>
      <w:r w:rsidRPr="00263452">
        <w:rPr>
          <w:rFonts w:ascii="Arial" w:hAnsi="Arial" w:cs="Arial"/>
        </w:rPr>
        <w:t xml:space="preserve">will need to deal with </w:t>
      </w:r>
      <w:r w:rsidR="00762CE1" w:rsidRPr="00263452">
        <w:rPr>
          <w:rFonts w:ascii="Arial" w:hAnsi="Arial" w:cs="Arial"/>
        </w:rPr>
        <w:t xml:space="preserve">different </w:t>
      </w:r>
      <w:r w:rsidRPr="00263452">
        <w:rPr>
          <w:rFonts w:ascii="Arial" w:hAnsi="Arial" w:cs="Arial"/>
        </w:rPr>
        <w:t>target groups, some of which will have distinct requirements, as outlined below.</w:t>
      </w:r>
    </w:p>
    <w:p w:rsidR="00F07A52" w:rsidRDefault="00F07A52" w:rsidP="001B3A34">
      <w:pPr>
        <w:spacing w:after="0" w:line="240" w:lineRule="auto"/>
        <w:jc w:val="both"/>
        <w:rPr>
          <w:rFonts w:ascii="Arial" w:hAnsi="Arial" w:cs="Arial"/>
          <w:b/>
          <w:i/>
        </w:rPr>
      </w:pPr>
    </w:p>
    <w:p w:rsidR="00E66891" w:rsidRPr="00263452" w:rsidRDefault="00276BAC" w:rsidP="001B3A34">
      <w:pPr>
        <w:spacing w:after="0" w:line="240" w:lineRule="auto"/>
        <w:jc w:val="both"/>
        <w:rPr>
          <w:rFonts w:ascii="Arial" w:hAnsi="Arial" w:cs="Arial"/>
          <w:b/>
          <w:i/>
        </w:rPr>
      </w:pPr>
      <w:r w:rsidRPr="00263452">
        <w:rPr>
          <w:rFonts w:ascii="Arial" w:hAnsi="Arial" w:cs="Arial"/>
          <w:b/>
          <w:i/>
        </w:rPr>
        <w:t>Programme administrators</w:t>
      </w:r>
    </w:p>
    <w:p w:rsidR="00F07A52" w:rsidRDefault="00F07A52" w:rsidP="001B3A34">
      <w:pPr>
        <w:spacing w:after="0" w:line="240" w:lineRule="auto"/>
        <w:jc w:val="both"/>
        <w:rPr>
          <w:rFonts w:ascii="Arial" w:hAnsi="Arial" w:cs="Arial"/>
        </w:rPr>
      </w:pPr>
    </w:p>
    <w:p w:rsidR="00276BAC" w:rsidRPr="00263452" w:rsidRDefault="00133A62" w:rsidP="001B3A34">
      <w:pPr>
        <w:spacing w:after="0" w:line="240" w:lineRule="auto"/>
        <w:jc w:val="both"/>
        <w:rPr>
          <w:rFonts w:ascii="Arial" w:hAnsi="Arial" w:cs="Arial"/>
        </w:rPr>
      </w:pPr>
      <w:r w:rsidRPr="00263452">
        <w:rPr>
          <w:rFonts w:ascii="Arial" w:hAnsi="Arial" w:cs="Arial"/>
        </w:rPr>
        <w:t>This is a fairly broad group of, mostly</w:t>
      </w:r>
      <w:r w:rsidR="00762CE1" w:rsidRPr="00263452">
        <w:rPr>
          <w:rFonts w:ascii="Arial" w:hAnsi="Arial" w:cs="Arial"/>
        </w:rPr>
        <w:t>, officials</w:t>
      </w:r>
      <w:r w:rsidRPr="00263452">
        <w:rPr>
          <w:rFonts w:ascii="Arial" w:hAnsi="Arial" w:cs="Arial"/>
        </w:rPr>
        <w:t xml:space="preserve"> engaged in </w:t>
      </w:r>
      <w:r w:rsidR="00762CE1" w:rsidRPr="00263452">
        <w:rPr>
          <w:rFonts w:ascii="Arial" w:hAnsi="Arial" w:cs="Arial"/>
        </w:rPr>
        <w:t xml:space="preserve">different aspects of CBC programme </w:t>
      </w:r>
      <w:r w:rsidRPr="00263452">
        <w:rPr>
          <w:rFonts w:ascii="Arial" w:hAnsi="Arial" w:cs="Arial"/>
        </w:rPr>
        <w:t xml:space="preserve">management, including calls for proposals, project selection and contracting, </w:t>
      </w:r>
      <w:r w:rsidR="00762CE1" w:rsidRPr="00263452">
        <w:rPr>
          <w:rFonts w:ascii="Arial" w:hAnsi="Arial" w:cs="Arial"/>
        </w:rPr>
        <w:t>monitoring and impact assessment. Their focus tend</w:t>
      </w:r>
      <w:r w:rsidR="00EC0157" w:rsidRPr="00263452">
        <w:rPr>
          <w:rFonts w:ascii="Arial" w:hAnsi="Arial" w:cs="Arial"/>
        </w:rPr>
        <w:t>s</w:t>
      </w:r>
      <w:r w:rsidR="00762CE1" w:rsidRPr="00263452">
        <w:rPr>
          <w:rFonts w:ascii="Arial" w:hAnsi="Arial" w:cs="Arial"/>
        </w:rPr>
        <w:t xml:space="preserve"> to be at national/programme level (OS, CA, JTS, </w:t>
      </w:r>
      <w:proofErr w:type="gramStart"/>
      <w:r w:rsidR="00454EAA">
        <w:rPr>
          <w:rFonts w:ascii="Arial" w:hAnsi="Arial" w:cs="Arial"/>
        </w:rPr>
        <w:t>Delegation</w:t>
      </w:r>
      <w:proofErr w:type="gramEnd"/>
      <w:r w:rsidR="00454EAA">
        <w:rPr>
          <w:rFonts w:ascii="Arial" w:hAnsi="Arial" w:cs="Arial"/>
        </w:rPr>
        <w:t xml:space="preserve"> of the European Union - DEU</w:t>
      </w:r>
      <w:r w:rsidR="00762CE1" w:rsidRPr="00263452">
        <w:rPr>
          <w:rFonts w:ascii="Arial" w:hAnsi="Arial" w:cs="Arial"/>
        </w:rPr>
        <w:t xml:space="preserve">) but in some cases it </w:t>
      </w:r>
      <w:r w:rsidR="00EC0157" w:rsidRPr="00263452">
        <w:rPr>
          <w:rFonts w:ascii="Arial" w:hAnsi="Arial" w:cs="Arial"/>
        </w:rPr>
        <w:t>is</w:t>
      </w:r>
      <w:r w:rsidR="00762CE1" w:rsidRPr="00263452">
        <w:rPr>
          <w:rFonts w:ascii="Arial" w:hAnsi="Arial" w:cs="Arial"/>
        </w:rPr>
        <w:t xml:space="preserve"> at regional level</w:t>
      </w:r>
      <w:r w:rsidR="00D82AEB">
        <w:rPr>
          <w:rFonts w:ascii="Arial" w:hAnsi="Arial" w:cs="Arial"/>
        </w:rPr>
        <w:t xml:space="preserve">, </w:t>
      </w:r>
      <w:r w:rsidR="00D82AEB" w:rsidRPr="00263452">
        <w:rPr>
          <w:rFonts w:ascii="Arial" w:hAnsi="Arial" w:cs="Arial"/>
        </w:rPr>
        <w:t xml:space="preserve">notably </w:t>
      </w:r>
      <w:r w:rsidR="00D82AEB">
        <w:rPr>
          <w:rFonts w:ascii="Arial" w:hAnsi="Arial" w:cs="Arial"/>
        </w:rPr>
        <w:t xml:space="preserve">in the case of </w:t>
      </w:r>
      <w:r w:rsidR="00D82AEB" w:rsidRPr="00263452">
        <w:rPr>
          <w:rFonts w:ascii="Arial" w:hAnsi="Arial" w:cs="Arial"/>
        </w:rPr>
        <w:t>DG NEAR</w:t>
      </w:r>
      <w:r w:rsidR="00D82AEB">
        <w:rPr>
          <w:rFonts w:ascii="Arial" w:hAnsi="Arial" w:cs="Arial"/>
        </w:rPr>
        <w:t>.</w:t>
      </w:r>
    </w:p>
    <w:p w:rsidR="00F07A52" w:rsidRDefault="00F07A52" w:rsidP="001B3A34">
      <w:pPr>
        <w:spacing w:after="0" w:line="240" w:lineRule="auto"/>
        <w:jc w:val="both"/>
        <w:rPr>
          <w:rFonts w:ascii="Arial" w:hAnsi="Arial" w:cs="Arial"/>
          <w:b/>
          <w:i/>
        </w:rPr>
      </w:pPr>
    </w:p>
    <w:p w:rsidR="00276BAC" w:rsidRPr="00263452" w:rsidRDefault="00276BAC" w:rsidP="001B3A34">
      <w:pPr>
        <w:spacing w:after="0" w:line="240" w:lineRule="auto"/>
        <w:jc w:val="both"/>
        <w:rPr>
          <w:rFonts w:ascii="Arial" w:hAnsi="Arial" w:cs="Arial"/>
          <w:b/>
          <w:i/>
        </w:rPr>
      </w:pPr>
      <w:r w:rsidRPr="00263452">
        <w:rPr>
          <w:rFonts w:ascii="Arial" w:hAnsi="Arial" w:cs="Arial"/>
          <w:b/>
          <w:i/>
        </w:rPr>
        <w:t>Project implementing bodies (</w:t>
      </w:r>
      <w:r w:rsidR="004D6A66">
        <w:rPr>
          <w:rFonts w:ascii="Arial" w:hAnsi="Arial" w:cs="Arial"/>
          <w:b/>
          <w:i/>
        </w:rPr>
        <w:t xml:space="preserve">programme </w:t>
      </w:r>
      <w:r w:rsidRPr="00263452">
        <w:rPr>
          <w:rFonts w:ascii="Arial" w:hAnsi="Arial" w:cs="Arial"/>
          <w:b/>
          <w:i/>
        </w:rPr>
        <w:t>beneficiaries)</w:t>
      </w:r>
    </w:p>
    <w:p w:rsidR="00F07A52" w:rsidRDefault="00F07A52" w:rsidP="001B3A34">
      <w:pPr>
        <w:spacing w:after="0" w:line="240" w:lineRule="auto"/>
        <w:jc w:val="both"/>
        <w:rPr>
          <w:rFonts w:ascii="Arial" w:hAnsi="Arial" w:cs="Arial"/>
        </w:rPr>
      </w:pPr>
    </w:p>
    <w:p w:rsidR="00276BAC" w:rsidRPr="00263452" w:rsidRDefault="00762CE1" w:rsidP="001B3A34">
      <w:pPr>
        <w:spacing w:after="0" w:line="240" w:lineRule="auto"/>
        <w:jc w:val="both"/>
        <w:rPr>
          <w:rFonts w:ascii="Arial" w:hAnsi="Arial" w:cs="Arial"/>
        </w:rPr>
      </w:pPr>
      <w:r w:rsidRPr="00263452">
        <w:rPr>
          <w:rFonts w:ascii="Arial" w:hAnsi="Arial" w:cs="Arial"/>
        </w:rPr>
        <w:t>This is the most precisely defined target group,</w:t>
      </w:r>
      <w:r w:rsidR="00D82AEB">
        <w:rPr>
          <w:rFonts w:ascii="Arial" w:hAnsi="Arial" w:cs="Arial"/>
        </w:rPr>
        <w:t xml:space="preserve"> consisting of</w:t>
      </w:r>
      <w:r w:rsidRPr="00263452">
        <w:rPr>
          <w:rFonts w:ascii="Arial" w:hAnsi="Arial" w:cs="Arial"/>
        </w:rPr>
        <w:t xml:space="preserve"> the</w:t>
      </w:r>
      <w:r w:rsidR="00276BAC" w:rsidRPr="00263452">
        <w:rPr>
          <w:rFonts w:ascii="Arial" w:hAnsi="Arial" w:cs="Arial"/>
        </w:rPr>
        <w:t xml:space="preserve"> </w:t>
      </w:r>
      <w:r w:rsidRPr="00263452">
        <w:rPr>
          <w:rFonts w:ascii="Arial" w:hAnsi="Arial" w:cs="Arial"/>
        </w:rPr>
        <w:t xml:space="preserve">organisations </w:t>
      </w:r>
      <w:r w:rsidR="00276BAC" w:rsidRPr="00263452">
        <w:rPr>
          <w:rFonts w:ascii="Arial" w:hAnsi="Arial" w:cs="Arial"/>
        </w:rPr>
        <w:t>and their staff who are specifically engaged in the implementation of pro</w:t>
      </w:r>
      <w:r w:rsidRPr="00263452">
        <w:rPr>
          <w:rFonts w:ascii="Arial" w:hAnsi="Arial" w:cs="Arial"/>
        </w:rPr>
        <w:t xml:space="preserve">jects supported by the IPA CBC </w:t>
      </w:r>
      <w:r w:rsidR="00454EAA">
        <w:rPr>
          <w:rFonts w:ascii="Arial" w:hAnsi="Arial" w:cs="Arial"/>
        </w:rPr>
        <w:t>p</w:t>
      </w:r>
      <w:r w:rsidR="00276BAC" w:rsidRPr="00263452">
        <w:rPr>
          <w:rFonts w:ascii="Arial" w:hAnsi="Arial" w:cs="Arial"/>
        </w:rPr>
        <w:t>rogrammes</w:t>
      </w:r>
      <w:r w:rsidRPr="00263452">
        <w:rPr>
          <w:rFonts w:ascii="Arial" w:hAnsi="Arial" w:cs="Arial"/>
        </w:rPr>
        <w:t xml:space="preserve">. </w:t>
      </w:r>
      <w:r w:rsidR="00EC0157" w:rsidRPr="00263452">
        <w:rPr>
          <w:rFonts w:ascii="Arial" w:hAnsi="Arial" w:cs="Arial"/>
        </w:rPr>
        <w:t xml:space="preserve">They have specific concerns over a wide range of issues and, similarly, can contribute extensively and substantively on many different aspects </w:t>
      </w:r>
      <w:r w:rsidR="00A520B1">
        <w:rPr>
          <w:rFonts w:ascii="Arial" w:hAnsi="Arial" w:cs="Arial"/>
        </w:rPr>
        <w:t xml:space="preserve">affecting the performance </w:t>
      </w:r>
      <w:r w:rsidR="00EC0157" w:rsidRPr="00263452">
        <w:rPr>
          <w:rFonts w:ascii="Arial" w:hAnsi="Arial" w:cs="Arial"/>
        </w:rPr>
        <w:t xml:space="preserve">of IPA CBC </w:t>
      </w:r>
      <w:r w:rsidR="00A520B1">
        <w:rPr>
          <w:rFonts w:ascii="Arial" w:hAnsi="Arial" w:cs="Arial"/>
        </w:rPr>
        <w:t>projects and p</w:t>
      </w:r>
      <w:r w:rsidR="00EC0157" w:rsidRPr="00263452">
        <w:rPr>
          <w:rFonts w:ascii="Arial" w:hAnsi="Arial" w:cs="Arial"/>
        </w:rPr>
        <w:t>rogrammes.</w:t>
      </w:r>
    </w:p>
    <w:p w:rsidR="00F07A52" w:rsidRDefault="00F07A52" w:rsidP="001B3A34">
      <w:pPr>
        <w:spacing w:after="0" w:line="240" w:lineRule="auto"/>
        <w:jc w:val="both"/>
        <w:rPr>
          <w:rFonts w:ascii="Arial" w:hAnsi="Arial" w:cs="Arial"/>
          <w:b/>
          <w:i/>
        </w:rPr>
      </w:pPr>
    </w:p>
    <w:p w:rsidR="00276BAC" w:rsidRPr="00263452" w:rsidRDefault="00276BAC" w:rsidP="001B3A34">
      <w:pPr>
        <w:spacing w:after="0" w:line="240" w:lineRule="auto"/>
        <w:jc w:val="both"/>
        <w:rPr>
          <w:rFonts w:ascii="Arial" w:hAnsi="Arial" w:cs="Arial"/>
          <w:b/>
          <w:i/>
        </w:rPr>
      </w:pPr>
      <w:r w:rsidRPr="00263452">
        <w:rPr>
          <w:rFonts w:ascii="Arial" w:hAnsi="Arial" w:cs="Arial"/>
          <w:b/>
          <w:i/>
        </w:rPr>
        <w:t>Potential beneficiaries</w:t>
      </w:r>
    </w:p>
    <w:p w:rsidR="00F07A52" w:rsidRDefault="00F07A52" w:rsidP="001B3A34">
      <w:pPr>
        <w:spacing w:after="0" w:line="240" w:lineRule="auto"/>
        <w:jc w:val="both"/>
        <w:rPr>
          <w:rFonts w:ascii="Arial" w:hAnsi="Arial" w:cs="Arial"/>
        </w:rPr>
      </w:pPr>
    </w:p>
    <w:p w:rsidR="002D447B" w:rsidRPr="00263452" w:rsidRDefault="00EC0157" w:rsidP="001B3A34">
      <w:pPr>
        <w:spacing w:after="0" w:line="240" w:lineRule="auto"/>
        <w:jc w:val="both"/>
        <w:rPr>
          <w:rFonts w:ascii="Arial" w:hAnsi="Arial" w:cs="Arial"/>
        </w:rPr>
      </w:pPr>
      <w:r w:rsidRPr="00263452">
        <w:rPr>
          <w:rFonts w:ascii="Arial" w:hAnsi="Arial" w:cs="Arial"/>
        </w:rPr>
        <w:t xml:space="preserve">This </w:t>
      </w:r>
      <w:r w:rsidR="002D447B" w:rsidRPr="00263452">
        <w:rPr>
          <w:rFonts w:ascii="Arial" w:hAnsi="Arial" w:cs="Arial"/>
        </w:rPr>
        <w:t xml:space="preserve">encompasses the above target group (beneficiaries) but </w:t>
      </w:r>
      <w:r w:rsidRPr="00263452">
        <w:rPr>
          <w:rFonts w:ascii="Arial" w:hAnsi="Arial" w:cs="Arial"/>
        </w:rPr>
        <w:t xml:space="preserve">is </w:t>
      </w:r>
      <w:r w:rsidR="002D447B" w:rsidRPr="00263452">
        <w:rPr>
          <w:rFonts w:ascii="Arial" w:hAnsi="Arial" w:cs="Arial"/>
        </w:rPr>
        <w:t>much b</w:t>
      </w:r>
      <w:r w:rsidR="00276BAC" w:rsidRPr="00263452">
        <w:rPr>
          <w:rFonts w:ascii="Arial" w:hAnsi="Arial" w:cs="Arial"/>
        </w:rPr>
        <w:t>road</w:t>
      </w:r>
      <w:r w:rsidR="002D447B" w:rsidRPr="00263452">
        <w:rPr>
          <w:rFonts w:ascii="Arial" w:hAnsi="Arial" w:cs="Arial"/>
        </w:rPr>
        <w:t xml:space="preserve">er covering </w:t>
      </w:r>
      <w:r w:rsidR="00276BAC" w:rsidRPr="00263452">
        <w:rPr>
          <w:rFonts w:ascii="Arial" w:hAnsi="Arial" w:cs="Arial"/>
        </w:rPr>
        <w:t>public bodies, civil society</w:t>
      </w:r>
      <w:r w:rsidR="002D447B" w:rsidRPr="00263452">
        <w:rPr>
          <w:rFonts w:ascii="Arial" w:hAnsi="Arial" w:cs="Arial"/>
        </w:rPr>
        <w:t xml:space="preserve"> organisations</w:t>
      </w:r>
      <w:r w:rsidR="00276BAC" w:rsidRPr="00263452">
        <w:rPr>
          <w:rFonts w:ascii="Arial" w:hAnsi="Arial" w:cs="Arial"/>
        </w:rPr>
        <w:t xml:space="preserve">,  </w:t>
      </w:r>
      <w:r w:rsidR="002D447B" w:rsidRPr="00263452">
        <w:rPr>
          <w:rFonts w:ascii="Arial" w:hAnsi="Arial" w:cs="Arial"/>
        </w:rPr>
        <w:t xml:space="preserve">and possibly </w:t>
      </w:r>
      <w:r w:rsidR="00276BAC" w:rsidRPr="00263452">
        <w:rPr>
          <w:rFonts w:ascii="Arial" w:hAnsi="Arial" w:cs="Arial"/>
        </w:rPr>
        <w:t xml:space="preserve">private </w:t>
      </w:r>
      <w:r w:rsidR="002D447B" w:rsidRPr="00263452">
        <w:rPr>
          <w:rFonts w:ascii="Arial" w:hAnsi="Arial" w:cs="Arial"/>
        </w:rPr>
        <w:t xml:space="preserve">sector </w:t>
      </w:r>
      <w:r w:rsidR="00276BAC" w:rsidRPr="00263452">
        <w:rPr>
          <w:rFonts w:ascii="Arial" w:hAnsi="Arial" w:cs="Arial"/>
        </w:rPr>
        <w:t>organisations</w:t>
      </w:r>
      <w:r w:rsidR="002D447B" w:rsidRPr="00263452">
        <w:rPr>
          <w:rFonts w:ascii="Arial" w:hAnsi="Arial" w:cs="Arial"/>
        </w:rPr>
        <w:t xml:space="preserve"> which are (or might be) eligible for seeking support for CBC projects under the IPA CBC </w:t>
      </w:r>
      <w:r w:rsidR="00454EAA">
        <w:rPr>
          <w:rFonts w:ascii="Arial" w:hAnsi="Arial" w:cs="Arial"/>
        </w:rPr>
        <w:t>p</w:t>
      </w:r>
      <w:r w:rsidR="002D447B" w:rsidRPr="00263452">
        <w:rPr>
          <w:rFonts w:ascii="Arial" w:hAnsi="Arial" w:cs="Arial"/>
        </w:rPr>
        <w:t xml:space="preserve">rogrammes. </w:t>
      </w:r>
    </w:p>
    <w:p w:rsidR="00F07A52" w:rsidRDefault="00F07A52" w:rsidP="001B3A34">
      <w:pPr>
        <w:spacing w:after="0" w:line="240" w:lineRule="auto"/>
        <w:jc w:val="both"/>
        <w:rPr>
          <w:rFonts w:ascii="Arial" w:hAnsi="Arial" w:cs="Arial"/>
        </w:rPr>
      </w:pPr>
    </w:p>
    <w:p w:rsidR="00276BAC" w:rsidRPr="00263452" w:rsidRDefault="002D447B" w:rsidP="001B3A34">
      <w:pPr>
        <w:spacing w:after="0" w:line="240" w:lineRule="auto"/>
        <w:jc w:val="both"/>
        <w:rPr>
          <w:rFonts w:ascii="Arial" w:hAnsi="Arial" w:cs="Arial"/>
        </w:rPr>
      </w:pPr>
      <w:r w:rsidRPr="00263452">
        <w:rPr>
          <w:rFonts w:ascii="Arial" w:hAnsi="Arial" w:cs="Arial"/>
        </w:rPr>
        <w:lastRenderedPageBreak/>
        <w:t xml:space="preserve">A ‘pool’ of potential beneficiaries is already defined for each programme, based on the databases of the JTSs, and reflect the potential beneficiaries who are known to have expressed an interest, for instance, by participating at info days or </w:t>
      </w:r>
      <w:r w:rsidR="00454EAA">
        <w:rPr>
          <w:rFonts w:ascii="Arial" w:hAnsi="Arial" w:cs="Arial"/>
        </w:rPr>
        <w:t>submitting</w:t>
      </w:r>
      <w:r w:rsidR="00454EAA" w:rsidRPr="00263452">
        <w:rPr>
          <w:rFonts w:ascii="Arial" w:hAnsi="Arial" w:cs="Arial"/>
        </w:rPr>
        <w:t xml:space="preserve"> </w:t>
      </w:r>
      <w:r w:rsidRPr="00263452">
        <w:rPr>
          <w:rFonts w:ascii="Arial" w:hAnsi="Arial" w:cs="Arial"/>
        </w:rPr>
        <w:t>unsuccessful project applications. However, these ‘pools’ could be enlarge</w:t>
      </w:r>
      <w:r w:rsidR="00A520B1">
        <w:rPr>
          <w:rFonts w:ascii="Arial" w:hAnsi="Arial" w:cs="Arial"/>
        </w:rPr>
        <w:t>d</w:t>
      </w:r>
      <w:r w:rsidRPr="00263452">
        <w:rPr>
          <w:rFonts w:ascii="Arial" w:hAnsi="Arial" w:cs="Arial"/>
        </w:rPr>
        <w:t xml:space="preserve"> further</w:t>
      </w:r>
      <w:r w:rsidR="00A520B1">
        <w:rPr>
          <w:rFonts w:ascii="Arial" w:hAnsi="Arial" w:cs="Arial"/>
        </w:rPr>
        <w:t xml:space="preserve">, </w:t>
      </w:r>
      <w:r w:rsidR="00D82AEB">
        <w:rPr>
          <w:rFonts w:ascii="Arial" w:hAnsi="Arial" w:cs="Arial"/>
        </w:rPr>
        <w:t>particularly</w:t>
      </w:r>
      <w:r w:rsidR="00A520B1">
        <w:rPr>
          <w:rFonts w:ascii="Arial" w:hAnsi="Arial" w:cs="Arial"/>
        </w:rPr>
        <w:t>,</w:t>
      </w:r>
      <w:r w:rsidRPr="00263452">
        <w:rPr>
          <w:rFonts w:ascii="Arial" w:hAnsi="Arial" w:cs="Arial"/>
        </w:rPr>
        <w:t xml:space="preserve"> by proactively channelling relevant </w:t>
      </w:r>
      <w:r w:rsidR="00A520B1">
        <w:rPr>
          <w:rFonts w:ascii="Arial" w:hAnsi="Arial" w:cs="Arial"/>
        </w:rPr>
        <w:t>information through</w:t>
      </w:r>
      <w:r w:rsidRPr="00263452">
        <w:rPr>
          <w:rFonts w:ascii="Arial" w:hAnsi="Arial" w:cs="Arial"/>
        </w:rPr>
        <w:t xml:space="preserve"> umbrella organisations and by raising the awareness of the general population in the programme areas (see below).</w:t>
      </w:r>
    </w:p>
    <w:p w:rsidR="00F07A52" w:rsidRDefault="00F07A52" w:rsidP="001B3A34">
      <w:pPr>
        <w:spacing w:after="0" w:line="240" w:lineRule="auto"/>
        <w:jc w:val="both"/>
        <w:rPr>
          <w:rFonts w:ascii="Arial" w:hAnsi="Arial" w:cs="Arial"/>
          <w:b/>
          <w:i/>
        </w:rPr>
      </w:pPr>
    </w:p>
    <w:p w:rsidR="00276BAC" w:rsidRPr="00263452" w:rsidRDefault="00276BAC" w:rsidP="001B3A34">
      <w:pPr>
        <w:spacing w:after="0" w:line="240" w:lineRule="auto"/>
        <w:jc w:val="both"/>
        <w:rPr>
          <w:rFonts w:ascii="Arial" w:hAnsi="Arial" w:cs="Arial"/>
          <w:b/>
          <w:i/>
        </w:rPr>
      </w:pPr>
      <w:r w:rsidRPr="00263452">
        <w:rPr>
          <w:rFonts w:ascii="Arial" w:hAnsi="Arial" w:cs="Arial"/>
          <w:b/>
          <w:i/>
        </w:rPr>
        <w:t>Programme area (local) population</w:t>
      </w:r>
    </w:p>
    <w:p w:rsidR="00F07A52" w:rsidRDefault="00F07A52" w:rsidP="001B3A34">
      <w:pPr>
        <w:spacing w:after="0" w:line="240" w:lineRule="auto"/>
        <w:jc w:val="both"/>
        <w:rPr>
          <w:rFonts w:ascii="Arial" w:hAnsi="Arial" w:cs="Arial"/>
        </w:rPr>
      </w:pPr>
    </w:p>
    <w:p w:rsidR="00263452" w:rsidRPr="00263452" w:rsidRDefault="00263452" w:rsidP="001B3A34">
      <w:pPr>
        <w:spacing w:after="0" w:line="240" w:lineRule="auto"/>
        <w:jc w:val="both"/>
        <w:rPr>
          <w:rFonts w:ascii="Arial" w:hAnsi="Arial" w:cs="Arial"/>
        </w:rPr>
      </w:pPr>
      <w:r w:rsidRPr="00263452">
        <w:rPr>
          <w:rFonts w:ascii="Arial" w:hAnsi="Arial" w:cs="Arial"/>
        </w:rPr>
        <w:t xml:space="preserve">This is a large group comprising all the local population in a programme area; effectively all the people who should ultimately </w:t>
      </w:r>
      <w:r w:rsidR="00D82AEB" w:rsidRPr="00263452">
        <w:rPr>
          <w:rFonts w:ascii="Arial" w:hAnsi="Arial" w:cs="Arial"/>
        </w:rPr>
        <w:t xml:space="preserve">benefit </w:t>
      </w:r>
      <w:r w:rsidRPr="00263452">
        <w:rPr>
          <w:rFonts w:ascii="Arial" w:hAnsi="Arial" w:cs="Arial"/>
        </w:rPr>
        <w:t xml:space="preserve">(albeit indirectly) from the interventions supported by the relevant IPA CBC </w:t>
      </w:r>
      <w:r w:rsidR="00085545">
        <w:rPr>
          <w:rFonts w:ascii="Arial" w:hAnsi="Arial" w:cs="Arial"/>
        </w:rPr>
        <w:t>p</w:t>
      </w:r>
      <w:r w:rsidRPr="00263452">
        <w:rPr>
          <w:rFonts w:ascii="Arial" w:hAnsi="Arial" w:cs="Arial"/>
        </w:rPr>
        <w:t xml:space="preserve">rogramme(s). </w:t>
      </w:r>
    </w:p>
    <w:p w:rsidR="00F07A52" w:rsidRDefault="00F07A52" w:rsidP="001B3A34">
      <w:pPr>
        <w:spacing w:after="0" w:line="240" w:lineRule="auto"/>
        <w:jc w:val="both"/>
        <w:rPr>
          <w:rFonts w:ascii="Arial" w:hAnsi="Arial" w:cs="Arial"/>
        </w:rPr>
      </w:pPr>
    </w:p>
    <w:p w:rsidR="00276BAC" w:rsidRDefault="00263452" w:rsidP="001B3A34">
      <w:pPr>
        <w:spacing w:after="0" w:line="240" w:lineRule="auto"/>
        <w:jc w:val="both"/>
        <w:rPr>
          <w:rFonts w:ascii="Arial" w:hAnsi="Arial" w:cs="Arial"/>
        </w:rPr>
      </w:pPr>
      <w:r w:rsidRPr="00263452">
        <w:rPr>
          <w:rFonts w:ascii="Arial" w:hAnsi="Arial" w:cs="Arial"/>
        </w:rPr>
        <w:t xml:space="preserve">Raising the awareness of the local population and getting </w:t>
      </w:r>
      <w:r w:rsidR="00276BAC" w:rsidRPr="00263452">
        <w:rPr>
          <w:rFonts w:ascii="Arial" w:hAnsi="Arial" w:cs="Arial"/>
        </w:rPr>
        <w:t xml:space="preserve">feedback regarding issues that </w:t>
      </w:r>
      <w:r w:rsidRPr="00263452">
        <w:rPr>
          <w:rFonts w:ascii="Arial" w:hAnsi="Arial" w:cs="Arial"/>
        </w:rPr>
        <w:t>could/should be</w:t>
      </w:r>
      <w:r w:rsidR="00276BAC" w:rsidRPr="00263452">
        <w:rPr>
          <w:rFonts w:ascii="Arial" w:hAnsi="Arial" w:cs="Arial"/>
        </w:rPr>
        <w:t xml:space="preserve"> addressed by CBC </w:t>
      </w:r>
      <w:r w:rsidR="00D82AEB">
        <w:rPr>
          <w:rFonts w:ascii="Arial" w:hAnsi="Arial" w:cs="Arial"/>
        </w:rPr>
        <w:t xml:space="preserve">Programmes </w:t>
      </w:r>
      <w:r w:rsidR="00276BAC" w:rsidRPr="00263452">
        <w:rPr>
          <w:rFonts w:ascii="Arial" w:hAnsi="Arial" w:cs="Arial"/>
        </w:rPr>
        <w:t xml:space="preserve">and on the likely effectiveness of </w:t>
      </w:r>
      <w:r w:rsidRPr="00263452">
        <w:rPr>
          <w:rFonts w:ascii="Arial" w:hAnsi="Arial" w:cs="Arial"/>
        </w:rPr>
        <w:t xml:space="preserve">projects and programmes are of paramount importance. </w:t>
      </w:r>
      <w:r w:rsidR="00276BAC" w:rsidRPr="00263452">
        <w:rPr>
          <w:rFonts w:ascii="Arial" w:hAnsi="Arial" w:cs="Arial"/>
        </w:rPr>
        <w:t xml:space="preserve"> </w:t>
      </w:r>
    </w:p>
    <w:p w:rsidR="001F54D0" w:rsidRDefault="001F54D0" w:rsidP="001B3A34">
      <w:pPr>
        <w:spacing w:after="0" w:line="240" w:lineRule="auto"/>
        <w:jc w:val="both"/>
        <w:rPr>
          <w:rFonts w:ascii="Arial" w:hAnsi="Arial" w:cs="Arial"/>
        </w:rPr>
      </w:pPr>
    </w:p>
    <w:p w:rsidR="00F07A52" w:rsidRDefault="00F07A52" w:rsidP="001B3A34">
      <w:pPr>
        <w:spacing w:after="0" w:line="240" w:lineRule="auto"/>
        <w:jc w:val="both"/>
        <w:rPr>
          <w:rFonts w:ascii="Arial" w:hAnsi="Arial" w:cs="Arial"/>
        </w:rPr>
      </w:pPr>
    </w:p>
    <w:p w:rsidR="00E66891" w:rsidRPr="00E8003D" w:rsidRDefault="00383948" w:rsidP="001B3A34">
      <w:pPr>
        <w:pStyle w:val="Heading1"/>
        <w:spacing w:before="0" w:line="240" w:lineRule="auto"/>
      </w:pPr>
      <w:bookmarkStart w:id="12" w:name="_Toc465088538"/>
      <w:r>
        <w:t>7</w:t>
      </w:r>
      <w:r w:rsidR="001B3A34">
        <w:t xml:space="preserve">. </w:t>
      </w:r>
      <w:r w:rsidR="00E66891" w:rsidRPr="00E8003D">
        <w:t xml:space="preserve">Reviewing and </w:t>
      </w:r>
      <w:r w:rsidR="00B433D0">
        <w:t>adapting</w:t>
      </w:r>
      <w:r w:rsidR="00E66891" w:rsidRPr="00E8003D">
        <w:t xml:space="preserve"> the strategy</w:t>
      </w:r>
      <w:bookmarkEnd w:id="12"/>
    </w:p>
    <w:p w:rsidR="001B3A34" w:rsidRDefault="001B3A34" w:rsidP="001B3A34">
      <w:pPr>
        <w:spacing w:after="0" w:line="240" w:lineRule="auto"/>
        <w:jc w:val="both"/>
        <w:rPr>
          <w:rFonts w:ascii="Arial" w:hAnsi="Arial" w:cs="Arial"/>
        </w:rPr>
      </w:pPr>
    </w:p>
    <w:p w:rsidR="00E8003D" w:rsidRDefault="007D5947" w:rsidP="001B3A34">
      <w:pPr>
        <w:spacing w:after="0" w:line="240" w:lineRule="auto"/>
        <w:jc w:val="both"/>
        <w:rPr>
          <w:rFonts w:ascii="Arial" w:hAnsi="Arial" w:cs="Arial"/>
        </w:rPr>
      </w:pPr>
      <w:r>
        <w:rPr>
          <w:rFonts w:ascii="Arial" w:hAnsi="Arial" w:cs="Arial"/>
        </w:rPr>
        <w:t xml:space="preserve">Although the strategy will follow a flexible approach it will be </w:t>
      </w:r>
      <w:r w:rsidR="00560217">
        <w:rPr>
          <w:rFonts w:ascii="Arial" w:hAnsi="Arial" w:cs="Arial"/>
        </w:rPr>
        <w:t>appropriate</w:t>
      </w:r>
      <w:r>
        <w:rPr>
          <w:rFonts w:ascii="Arial" w:hAnsi="Arial" w:cs="Arial"/>
        </w:rPr>
        <w:t xml:space="preserve"> </w:t>
      </w:r>
      <w:r w:rsidR="00560217">
        <w:rPr>
          <w:rFonts w:ascii="Arial" w:hAnsi="Arial" w:cs="Arial"/>
        </w:rPr>
        <w:t>to establish a structured process for reviewing and adapting it as the project unfolds</w:t>
      </w:r>
      <w:r w:rsidR="00B36F31">
        <w:rPr>
          <w:rFonts w:ascii="Arial" w:hAnsi="Arial" w:cs="Arial"/>
        </w:rPr>
        <w:t>, including</w:t>
      </w:r>
      <w:r w:rsidR="00560217">
        <w:rPr>
          <w:rFonts w:ascii="Arial" w:hAnsi="Arial" w:cs="Arial"/>
        </w:rPr>
        <w:t>:</w:t>
      </w:r>
    </w:p>
    <w:p w:rsidR="00F07A52" w:rsidRDefault="00F07A52" w:rsidP="001B3A34">
      <w:pPr>
        <w:spacing w:after="0" w:line="240" w:lineRule="auto"/>
        <w:jc w:val="both"/>
        <w:rPr>
          <w:rFonts w:ascii="Arial" w:hAnsi="Arial" w:cs="Arial"/>
        </w:rPr>
      </w:pPr>
    </w:p>
    <w:p w:rsidR="00560217" w:rsidRDefault="00560217" w:rsidP="001B3A34">
      <w:pPr>
        <w:pStyle w:val="ListParagraph"/>
        <w:numPr>
          <w:ilvl w:val="0"/>
          <w:numId w:val="27"/>
        </w:numPr>
        <w:spacing w:after="0" w:line="240" w:lineRule="auto"/>
        <w:jc w:val="both"/>
        <w:rPr>
          <w:rFonts w:ascii="Arial" w:hAnsi="Arial" w:cs="Arial"/>
        </w:rPr>
      </w:pPr>
      <w:r>
        <w:rPr>
          <w:rFonts w:ascii="Arial" w:hAnsi="Arial" w:cs="Arial"/>
        </w:rPr>
        <w:t xml:space="preserve">an initial action plan which could, </w:t>
      </w:r>
      <w:r w:rsidRPr="00560217">
        <w:rPr>
          <w:rFonts w:ascii="Arial" w:hAnsi="Arial" w:cs="Arial"/>
          <w:i/>
        </w:rPr>
        <w:t>inter alia</w:t>
      </w:r>
      <w:r>
        <w:rPr>
          <w:rFonts w:ascii="Arial" w:hAnsi="Arial" w:cs="Arial"/>
        </w:rPr>
        <w:t>, signpost to new or pilot activities and flag up existing tools (e.g. publications, CBC Regional Forum), as well as provide a basis for future reviews and updates;</w:t>
      </w:r>
      <w:r w:rsidR="00085545">
        <w:rPr>
          <w:rFonts w:ascii="Arial" w:hAnsi="Arial" w:cs="Arial"/>
        </w:rPr>
        <w:t xml:space="preserve"> and</w:t>
      </w:r>
    </w:p>
    <w:p w:rsidR="00560217" w:rsidRPr="00560217" w:rsidRDefault="00560217" w:rsidP="001B3A34">
      <w:pPr>
        <w:pStyle w:val="ListParagraph"/>
        <w:numPr>
          <w:ilvl w:val="0"/>
          <w:numId w:val="27"/>
        </w:numPr>
        <w:spacing w:after="0" w:line="240" w:lineRule="auto"/>
        <w:jc w:val="both"/>
        <w:rPr>
          <w:rFonts w:ascii="Arial" w:hAnsi="Arial" w:cs="Arial"/>
        </w:rPr>
      </w:pPr>
      <w:r>
        <w:rPr>
          <w:rFonts w:ascii="Arial" w:hAnsi="Arial" w:cs="Arial"/>
        </w:rPr>
        <w:t>regular short reports by the TWG</w:t>
      </w:r>
      <w:r w:rsidR="002B6CD2">
        <w:rPr>
          <w:rFonts w:ascii="Arial" w:hAnsi="Arial" w:cs="Arial"/>
        </w:rPr>
        <w:t>/project t</w:t>
      </w:r>
      <w:r w:rsidR="00B36F31">
        <w:rPr>
          <w:rFonts w:ascii="Arial" w:hAnsi="Arial" w:cs="Arial"/>
        </w:rPr>
        <w:t>eam</w:t>
      </w:r>
      <w:r>
        <w:rPr>
          <w:rFonts w:ascii="Arial" w:hAnsi="Arial" w:cs="Arial"/>
        </w:rPr>
        <w:t xml:space="preserve"> on key lessons drawn from various sources and from feedback from the target groups.</w:t>
      </w:r>
    </w:p>
    <w:p w:rsidR="00F07A52" w:rsidRDefault="00F07A52" w:rsidP="001B3A34">
      <w:pPr>
        <w:spacing w:after="0" w:line="240" w:lineRule="auto"/>
        <w:jc w:val="both"/>
        <w:rPr>
          <w:rFonts w:ascii="Arial" w:hAnsi="Arial" w:cs="Arial"/>
        </w:rPr>
      </w:pPr>
    </w:p>
    <w:p w:rsidR="00E8003D" w:rsidRPr="00E8003D" w:rsidRDefault="00560217" w:rsidP="001B3A34">
      <w:pPr>
        <w:spacing w:after="0" w:line="240" w:lineRule="auto"/>
        <w:jc w:val="both"/>
        <w:rPr>
          <w:rFonts w:ascii="Arial" w:hAnsi="Arial" w:cs="Arial"/>
        </w:rPr>
      </w:pPr>
      <w:r>
        <w:rPr>
          <w:rFonts w:ascii="Arial" w:hAnsi="Arial" w:cs="Arial"/>
        </w:rPr>
        <w:t xml:space="preserve">Since the CBIB+2 </w:t>
      </w:r>
      <w:r w:rsidR="00D82AEB">
        <w:rPr>
          <w:rFonts w:ascii="Arial" w:hAnsi="Arial" w:cs="Arial"/>
        </w:rPr>
        <w:t>project</w:t>
      </w:r>
      <w:r>
        <w:rPr>
          <w:rFonts w:ascii="Arial" w:hAnsi="Arial" w:cs="Arial"/>
        </w:rPr>
        <w:t xml:space="preserve"> will be reporting progress on a six-monthly basis, it will be appropriate to follow this pattern in planning and reviewing relevant activities (e.g. surveys and publications) and this is illustrated in the following indicative time plan. </w:t>
      </w:r>
    </w:p>
    <w:p w:rsidR="0064631B" w:rsidRDefault="0064631B" w:rsidP="001B3A34">
      <w:pPr>
        <w:spacing w:after="0" w:line="240" w:lineRule="auto"/>
        <w:rPr>
          <w:rFonts w:ascii="Arial" w:hAnsi="Arial" w:cs="Arial"/>
          <w:b/>
        </w:rPr>
      </w:pPr>
    </w:p>
    <w:p w:rsidR="00F07A52" w:rsidRDefault="00CB0CCA" w:rsidP="001B3A34">
      <w:pPr>
        <w:spacing w:after="0" w:line="240" w:lineRule="auto"/>
        <w:rPr>
          <w:rFonts w:ascii="Arial" w:hAnsi="Arial" w:cs="Arial"/>
          <w:b/>
        </w:rPr>
      </w:pPr>
      <w:r>
        <w:rPr>
          <w:rFonts w:ascii="Arial" w:hAnsi="Arial" w:cs="Arial"/>
          <w:b/>
        </w:rPr>
        <w:t>Figure 4</w:t>
      </w:r>
      <w:r w:rsidR="00E8003D" w:rsidRPr="00E8003D">
        <w:rPr>
          <w:rFonts w:ascii="Arial" w:hAnsi="Arial" w:cs="Arial"/>
          <w:b/>
        </w:rPr>
        <w:t xml:space="preserve">: </w:t>
      </w:r>
      <w:r w:rsidR="00E66891" w:rsidRPr="00E8003D">
        <w:rPr>
          <w:rFonts w:ascii="Arial" w:hAnsi="Arial" w:cs="Arial"/>
          <w:b/>
        </w:rPr>
        <w:t xml:space="preserve">Indicative time plan </w:t>
      </w:r>
    </w:p>
    <w:p w:rsidR="00E66891" w:rsidRPr="00E8003D" w:rsidRDefault="00E66891" w:rsidP="001B3A34">
      <w:pPr>
        <w:spacing w:after="0" w:line="240" w:lineRule="auto"/>
        <w:rPr>
          <w:rFonts w:ascii="Arial" w:hAnsi="Arial" w:cs="Arial"/>
          <w:b/>
        </w:rPr>
      </w:pP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437444" w:rsidRPr="001C14FE" w:rsidTr="003D0DB5">
        <w:trPr>
          <w:trHeight w:val="408"/>
        </w:trPr>
        <w:tc>
          <w:tcPr>
            <w:tcW w:w="1540" w:type="dxa"/>
            <w:shd w:val="clear" w:color="auto" w:fill="FF0000"/>
            <w:vAlign w:val="center"/>
          </w:tcPr>
          <w:p w:rsidR="001C14FE" w:rsidRPr="003D0DB5" w:rsidRDefault="001C14FE" w:rsidP="001B3A34">
            <w:pPr>
              <w:jc w:val="center"/>
              <w:rPr>
                <w:rFonts w:ascii="Arial" w:hAnsi="Arial" w:cs="Arial"/>
                <w:b/>
                <w:color w:val="FDE9D9" w:themeColor="accent6" w:themeTint="33"/>
                <w:sz w:val="20"/>
                <w:szCs w:val="24"/>
              </w:rPr>
            </w:pPr>
            <w:r w:rsidRPr="003D0DB5">
              <w:rPr>
                <w:rFonts w:ascii="Arial" w:hAnsi="Arial" w:cs="Arial"/>
                <w:b/>
                <w:color w:val="FDE9D9" w:themeColor="accent6" w:themeTint="33"/>
                <w:sz w:val="20"/>
                <w:szCs w:val="24"/>
              </w:rPr>
              <w:t>Months 1-6</w:t>
            </w:r>
          </w:p>
        </w:tc>
        <w:tc>
          <w:tcPr>
            <w:tcW w:w="1540" w:type="dxa"/>
            <w:shd w:val="clear" w:color="auto" w:fill="FF0000"/>
            <w:vAlign w:val="center"/>
          </w:tcPr>
          <w:p w:rsidR="001C14FE" w:rsidRPr="003D0DB5" w:rsidRDefault="001C14FE" w:rsidP="001B3A34">
            <w:pPr>
              <w:jc w:val="center"/>
              <w:rPr>
                <w:rFonts w:ascii="Arial" w:hAnsi="Arial" w:cs="Arial"/>
                <w:b/>
                <w:color w:val="FDE9D9" w:themeColor="accent6" w:themeTint="33"/>
                <w:sz w:val="20"/>
                <w:szCs w:val="24"/>
              </w:rPr>
            </w:pPr>
            <w:r w:rsidRPr="003D0DB5">
              <w:rPr>
                <w:rFonts w:ascii="Arial" w:hAnsi="Arial" w:cs="Arial"/>
                <w:b/>
                <w:color w:val="FDE9D9" w:themeColor="accent6" w:themeTint="33"/>
                <w:sz w:val="20"/>
                <w:szCs w:val="24"/>
              </w:rPr>
              <w:t>Months 7-12</w:t>
            </w:r>
          </w:p>
        </w:tc>
        <w:tc>
          <w:tcPr>
            <w:tcW w:w="1540" w:type="dxa"/>
            <w:shd w:val="clear" w:color="auto" w:fill="FF0000"/>
            <w:vAlign w:val="center"/>
          </w:tcPr>
          <w:p w:rsidR="001C14FE" w:rsidRPr="003D0DB5" w:rsidRDefault="001C14FE" w:rsidP="001B3A34">
            <w:pPr>
              <w:jc w:val="center"/>
              <w:rPr>
                <w:rFonts w:ascii="Arial" w:hAnsi="Arial" w:cs="Arial"/>
                <w:b/>
                <w:color w:val="FDE9D9" w:themeColor="accent6" w:themeTint="33"/>
                <w:sz w:val="20"/>
                <w:szCs w:val="24"/>
              </w:rPr>
            </w:pPr>
            <w:r w:rsidRPr="003D0DB5">
              <w:rPr>
                <w:rFonts w:ascii="Arial" w:hAnsi="Arial" w:cs="Arial"/>
                <w:b/>
                <w:color w:val="FDE9D9" w:themeColor="accent6" w:themeTint="33"/>
                <w:sz w:val="20"/>
                <w:szCs w:val="24"/>
              </w:rPr>
              <w:t>Months 13-18</w:t>
            </w:r>
          </w:p>
        </w:tc>
        <w:tc>
          <w:tcPr>
            <w:tcW w:w="1540" w:type="dxa"/>
            <w:shd w:val="clear" w:color="auto" w:fill="FF0000"/>
            <w:vAlign w:val="center"/>
          </w:tcPr>
          <w:p w:rsidR="001C14FE" w:rsidRPr="003D0DB5" w:rsidRDefault="001C14FE" w:rsidP="001B3A34">
            <w:pPr>
              <w:jc w:val="center"/>
              <w:rPr>
                <w:rFonts w:ascii="Arial" w:hAnsi="Arial" w:cs="Arial"/>
                <w:b/>
                <w:color w:val="FDE9D9" w:themeColor="accent6" w:themeTint="33"/>
                <w:sz w:val="20"/>
                <w:szCs w:val="24"/>
              </w:rPr>
            </w:pPr>
            <w:r w:rsidRPr="003D0DB5">
              <w:rPr>
                <w:rFonts w:ascii="Arial" w:hAnsi="Arial" w:cs="Arial"/>
                <w:b/>
                <w:color w:val="FDE9D9" w:themeColor="accent6" w:themeTint="33"/>
                <w:sz w:val="20"/>
                <w:szCs w:val="24"/>
              </w:rPr>
              <w:t>Months 19-24</w:t>
            </w:r>
          </w:p>
        </w:tc>
        <w:tc>
          <w:tcPr>
            <w:tcW w:w="1541" w:type="dxa"/>
            <w:shd w:val="clear" w:color="auto" w:fill="FF0000"/>
            <w:vAlign w:val="center"/>
          </w:tcPr>
          <w:p w:rsidR="001C14FE" w:rsidRPr="003D0DB5" w:rsidRDefault="001C14FE" w:rsidP="001B3A34">
            <w:pPr>
              <w:jc w:val="center"/>
              <w:rPr>
                <w:rFonts w:ascii="Arial" w:hAnsi="Arial" w:cs="Arial"/>
                <w:b/>
                <w:color w:val="FDE9D9" w:themeColor="accent6" w:themeTint="33"/>
                <w:sz w:val="20"/>
                <w:szCs w:val="24"/>
              </w:rPr>
            </w:pPr>
            <w:r w:rsidRPr="003D0DB5">
              <w:rPr>
                <w:rFonts w:ascii="Arial" w:hAnsi="Arial" w:cs="Arial"/>
                <w:b/>
                <w:color w:val="FDE9D9" w:themeColor="accent6" w:themeTint="33"/>
                <w:sz w:val="20"/>
                <w:szCs w:val="24"/>
              </w:rPr>
              <w:t>Months 25-30</w:t>
            </w:r>
          </w:p>
        </w:tc>
        <w:tc>
          <w:tcPr>
            <w:tcW w:w="1541" w:type="dxa"/>
            <w:shd w:val="clear" w:color="auto" w:fill="FF0000"/>
            <w:vAlign w:val="center"/>
          </w:tcPr>
          <w:p w:rsidR="001C14FE" w:rsidRPr="003D0DB5" w:rsidRDefault="001C14FE" w:rsidP="001B3A34">
            <w:pPr>
              <w:jc w:val="center"/>
              <w:rPr>
                <w:rFonts w:ascii="Arial" w:hAnsi="Arial" w:cs="Arial"/>
                <w:b/>
                <w:color w:val="FDE9D9" w:themeColor="accent6" w:themeTint="33"/>
                <w:sz w:val="20"/>
                <w:szCs w:val="24"/>
              </w:rPr>
            </w:pPr>
            <w:r w:rsidRPr="003D0DB5">
              <w:rPr>
                <w:rFonts w:ascii="Arial" w:hAnsi="Arial" w:cs="Arial"/>
                <w:b/>
                <w:color w:val="FDE9D9" w:themeColor="accent6" w:themeTint="33"/>
                <w:sz w:val="20"/>
                <w:szCs w:val="24"/>
              </w:rPr>
              <w:t>Months 31-36</w:t>
            </w:r>
          </w:p>
        </w:tc>
      </w:tr>
      <w:tr w:rsidR="00437444" w:rsidRPr="001C14FE" w:rsidTr="003D0DB5">
        <w:tc>
          <w:tcPr>
            <w:tcW w:w="1540" w:type="dxa"/>
            <w:shd w:val="clear" w:color="auto" w:fill="F2F2F2" w:themeFill="background1" w:themeFillShade="F2"/>
          </w:tcPr>
          <w:p w:rsidR="00437444" w:rsidRPr="00437444" w:rsidRDefault="00437444" w:rsidP="001B3A34">
            <w:pPr>
              <w:rPr>
                <w:rFonts w:ascii="Arial" w:hAnsi="Arial" w:cs="Arial"/>
                <w:sz w:val="20"/>
                <w:szCs w:val="24"/>
              </w:rPr>
            </w:pPr>
            <w:r w:rsidRPr="00437444">
              <w:rPr>
                <w:rFonts w:ascii="Arial" w:hAnsi="Arial" w:cs="Arial"/>
                <w:sz w:val="20"/>
                <w:szCs w:val="24"/>
              </w:rPr>
              <w:t>Develop strategy</w:t>
            </w:r>
          </w:p>
          <w:p w:rsidR="00437444" w:rsidRPr="00437444" w:rsidRDefault="00437444" w:rsidP="001B3A34">
            <w:pPr>
              <w:rPr>
                <w:rFonts w:ascii="Arial" w:hAnsi="Arial" w:cs="Arial"/>
                <w:sz w:val="20"/>
                <w:szCs w:val="24"/>
              </w:rPr>
            </w:pPr>
          </w:p>
          <w:p w:rsidR="00437444" w:rsidRPr="00437444" w:rsidRDefault="00D549BC" w:rsidP="001B3A34">
            <w:pPr>
              <w:rPr>
                <w:rFonts w:ascii="Arial" w:hAnsi="Arial" w:cs="Arial"/>
                <w:sz w:val="20"/>
                <w:szCs w:val="24"/>
              </w:rPr>
            </w:pPr>
            <w:r>
              <w:rPr>
                <w:rFonts w:ascii="Arial" w:hAnsi="Arial" w:cs="Arial"/>
                <w:sz w:val="20"/>
                <w:szCs w:val="24"/>
              </w:rPr>
              <w:t xml:space="preserve">Possible </w:t>
            </w:r>
            <w:r w:rsidR="00437444" w:rsidRPr="00437444">
              <w:rPr>
                <w:rFonts w:ascii="Arial" w:hAnsi="Arial" w:cs="Arial"/>
                <w:sz w:val="20"/>
                <w:szCs w:val="24"/>
              </w:rPr>
              <w:t>Set-up TWG</w:t>
            </w:r>
            <w:r>
              <w:rPr>
                <w:rFonts w:ascii="Arial" w:hAnsi="Arial" w:cs="Arial"/>
                <w:sz w:val="20"/>
                <w:szCs w:val="24"/>
              </w:rPr>
              <w:t xml:space="preserve">, otherwise in the </w:t>
            </w:r>
            <w:r w:rsidR="00361630">
              <w:rPr>
                <w:rFonts w:ascii="Arial" w:hAnsi="Arial" w:cs="Arial"/>
                <w:sz w:val="20"/>
                <w:szCs w:val="24"/>
              </w:rPr>
              <w:t>next period</w:t>
            </w:r>
          </w:p>
          <w:p w:rsidR="00437444" w:rsidRPr="00437444" w:rsidRDefault="00437444" w:rsidP="001B3A34">
            <w:pPr>
              <w:rPr>
                <w:rFonts w:ascii="Arial" w:hAnsi="Arial" w:cs="Arial"/>
                <w:sz w:val="20"/>
                <w:szCs w:val="24"/>
              </w:rPr>
            </w:pPr>
          </w:p>
          <w:p w:rsidR="00437444" w:rsidRPr="00437444" w:rsidRDefault="00437444" w:rsidP="001B3A34">
            <w:pPr>
              <w:rPr>
                <w:rFonts w:ascii="Arial" w:hAnsi="Arial" w:cs="Arial"/>
                <w:sz w:val="20"/>
                <w:szCs w:val="24"/>
              </w:rPr>
            </w:pPr>
            <w:r w:rsidRPr="00437444">
              <w:rPr>
                <w:rFonts w:ascii="Arial" w:hAnsi="Arial" w:cs="Arial"/>
                <w:sz w:val="20"/>
                <w:szCs w:val="24"/>
              </w:rPr>
              <w:t xml:space="preserve">Initial action plan </w:t>
            </w:r>
          </w:p>
          <w:p w:rsidR="00437444" w:rsidRPr="00437444" w:rsidRDefault="00437444" w:rsidP="001B3A34">
            <w:pPr>
              <w:rPr>
                <w:rFonts w:ascii="Arial" w:hAnsi="Arial" w:cs="Arial"/>
                <w:sz w:val="20"/>
                <w:szCs w:val="24"/>
              </w:rPr>
            </w:pPr>
          </w:p>
          <w:p w:rsidR="00437444" w:rsidRPr="00437444" w:rsidRDefault="00437444" w:rsidP="001B3A34">
            <w:pPr>
              <w:rPr>
                <w:rFonts w:ascii="Arial" w:hAnsi="Arial" w:cs="Arial"/>
                <w:sz w:val="20"/>
                <w:szCs w:val="24"/>
              </w:rPr>
            </w:pPr>
            <w:r w:rsidRPr="00437444">
              <w:rPr>
                <w:rFonts w:ascii="Arial" w:hAnsi="Arial" w:cs="Arial"/>
                <w:sz w:val="20"/>
                <w:szCs w:val="24"/>
              </w:rPr>
              <w:t>Launch study visit feedback system</w:t>
            </w:r>
          </w:p>
        </w:tc>
        <w:tc>
          <w:tcPr>
            <w:tcW w:w="1540" w:type="dxa"/>
            <w:shd w:val="clear" w:color="auto" w:fill="F2F2F2" w:themeFill="background1" w:themeFillShade="F2"/>
          </w:tcPr>
          <w:p w:rsidR="00437444" w:rsidRPr="00437444" w:rsidRDefault="00437444" w:rsidP="001B3A34">
            <w:pPr>
              <w:rPr>
                <w:rFonts w:ascii="Arial" w:hAnsi="Arial" w:cs="Arial"/>
                <w:sz w:val="20"/>
                <w:szCs w:val="24"/>
              </w:rPr>
            </w:pPr>
            <w:r w:rsidRPr="00437444">
              <w:rPr>
                <w:rFonts w:ascii="Arial" w:hAnsi="Arial" w:cs="Arial"/>
                <w:sz w:val="20"/>
                <w:szCs w:val="24"/>
              </w:rPr>
              <w:t>Pilot potential beneficiaries survey</w:t>
            </w:r>
          </w:p>
          <w:p w:rsidR="00F07A52" w:rsidRDefault="00F07A52" w:rsidP="001B3A34">
            <w:pPr>
              <w:rPr>
                <w:rFonts w:ascii="Arial" w:hAnsi="Arial" w:cs="Arial"/>
                <w:sz w:val="20"/>
                <w:szCs w:val="24"/>
              </w:rPr>
            </w:pPr>
          </w:p>
          <w:p w:rsidR="00437444" w:rsidRPr="00437444" w:rsidRDefault="00437444" w:rsidP="001B3A34">
            <w:pPr>
              <w:rPr>
                <w:rFonts w:ascii="Arial" w:hAnsi="Arial" w:cs="Arial"/>
                <w:sz w:val="20"/>
                <w:szCs w:val="24"/>
              </w:rPr>
            </w:pPr>
            <w:r w:rsidRPr="00437444">
              <w:rPr>
                <w:rFonts w:ascii="Arial" w:hAnsi="Arial" w:cs="Arial"/>
                <w:sz w:val="20"/>
                <w:szCs w:val="24"/>
              </w:rPr>
              <w:t>Launch promotion of links with umbrella orgs</w:t>
            </w:r>
          </w:p>
          <w:p w:rsidR="00F07A52" w:rsidRDefault="00F07A52" w:rsidP="001B3A34">
            <w:pPr>
              <w:rPr>
                <w:rFonts w:ascii="Arial" w:hAnsi="Arial" w:cs="Arial"/>
                <w:sz w:val="20"/>
                <w:szCs w:val="24"/>
              </w:rPr>
            </w:pPr>
          </w:p>
          <w:p w:rsidR="00437444" w:rsidRPr="00437444" w:rsidRDefault="00F83061" w:rsidP="001B3A34">
            <w:pPr>
              <w:rPr>
                <w:rFonts w:ascii="Arial" w:hAnsi="Arial" w:cs="Arial"/>
                <w:sz w:val="20"/>
                <w:szCs w:val="24"/>
              </w:rPr>
            </w:pPr>
            <w:r>
              <w:rPr>
                <w:rFonts w:ascii="Arial" w:hAnsi="Arial" w:cs="Arial"/>
                <w:sz w:val="20"/>
                <w:szCs w:val="24"/>
              </w:rPr>
              <w:t xml:space="preserve">Plan for the </w:t>
            </w:r>
            <w:r w:rsidR="00437444" w:rsidRPr="00437444">
              <w:rPr>
                <w:rFonts w:ascii="Arial" w:hAnsi="Arial" w:cs="Arial"/>
                <w:sz w:val="20"/>
                <w:szCs w:val="24"/>
              </w:rPr>
              <w:t>exchanges</w:t>
            </w:r>
            <w:r w:rsidR="00AC4F60">
              <w:rPr>
                <w:rFonts w:ascii="Arial" w:hAnsi="Arial" w:cs="Arial"/>
                <w:sz w:val="20"/>
                <w:szCs w:val="24"/>
              </w:rPr>
              <w:t>*</w:t>
            </w:r>
          </w:p>
          <w:p w:rsidR="00F07A52" w:rsidRDefault="00F07A52" w:rsidP="001B3A34">
            <w:pPr>
              <w:rPr>
                <w:rFonts w:ascii="Arial" w:hAnsi="Arial" w:cs="Arial"/>
                <w:sz w:val="20"/>
                <w:szCs w:val="24"/>
              </w:rPr>
            </w:pPr>
          </w:p>
          <w:p w:rsidR="00437444" w:rsidRPr="00437444" w:rsidRDefault="00437444" w:rsidP="001B3A34">
            <w:pPr>
              <w:rPr>
                <w:rFonts w:ascii="Arial" w:hAnsi="Arial" w:cs="Arial"/>
                <w:sz w:val="20"/>
                <w:szCs w:val="24"/>
              </w:rPr>
            </w:pPr>
            <w:r w:rsidRPr="00437444">
              <w:rPr>
                <w:rFonts w:ascii="Arial" w:hAnsi="Arial" w:cs="Arial"/>
                <w:sz w:val="20"/>
                <w:szCs w:val="24"/>
              </w:rPr>
              <w:t>Start expanding best practice database</w:t>
            </w:r>
          </w:p>
        </w:tc>
        <w:tc>
          <w:tcPr>
            <w:tcW w:w="1540" w:type="dxa"/>
            <w:shd w:val="clear" w:color="auto" w:fill="F2F2F2" w:themeFill="background1" w:themeFillShade="F2"/>
          </w:tcPr>
          <w:p w:rsidR="00437444" w:rsidRPr="00437444" w:rsidRDefault="00437444" w:rsidP="001B3A34">
            <w:pPr>
              <w:rPr>
                <w:rFonts w:ascii="Arial" w:hAnsi="Arial" w:cs="Arial"/>
                <w:sz w:val="20"/>
                <w:szCs w:val="24"/>
              </w:rPr>
            </w:pPr>
            <w:r w:rsidRPr="00437444">
              <w:rPr>
                <w:rFonts w:ascii="Arial" w:hAnsi="Arial" w:cs="Arial"/>
                <w:sz w:val="20"/>
                <w:szCs w:val="24"/>
              </w:rPr>
              <w:t>Pilot opinion poll of local population</w:t>
            </w:r>
            <w:r w:rsidR="00AC4F60">
              <w:rPr>
                <w:rFonts w:ascii="Arial" w:hAnsi="Arial" w:cs="Arial"/>
                <w:sz w:val="20"/>
                <w:szCs w:val="24"/>
              </w:rPr>
              <w:t xml:space="preserve"> (?)</w:t>
            </w:r>
          </w:p>
          <w:p w:rsidR="00437444" w:rsidRPr="00437444" w:rsidRDefault="00437444" w:rsidP="001B3A34">
            <w:pPr>
              <w:rPr>
                <w:rFonts w:ascii="Arial" w:hAnsi="Arial" w:cs="Arial"/>
                <w:sz w:val="20"/>
                <w:szCs w:val="24"/>
              </w:rPr>
            </w:pPr>
          </w:p>
          <w:p w:rsidR="00437444" w:rsidRPr="00437444" w:rsidRDefault="00437444" w:rsidP="001B3A34">
            <w:pPr>
              <w:rPr>
                <w:rFonts w:ascii="Arial" w:hAnsi="Arial" w:cs="Arial"/>
                <w:sz w:val="20"/>
                <w:szCs w:val="24"/>
              </w:rPr>
            </w:pPr>
            <w:r w:rsidRPr="00437444">
              <w:rPr>
                <w:rFonts w:ascii="Arial" w:hAnsi="Arial" w:cs="Arial"/>
                <w:sz w:val="20"/>
                <w:szCs w:val="24"/>
              </w:rPr>
              <w:t>Roll out potential beneficiaries surveys</w:t>
            </w:r>
          </w:p>
          <w:p w:rsidR="00437444" w:rsidRDefault="00437444" w:rsidP="001B3A34">
            <w:pPr>
              <w:rPr>
                <w:rFonts w:ascii="Arial" w:hAnsi="Arial" w:cs="Arial"/>
                <w:sz w:val="20"/>
                <w:szCs w:val="24"/>
              </w:rPr>
            </w:pPr>
          </w:p>
          <w:p w:rsidR="00F83061" w:rsidRDefault="00F83061" w:rsidP="001B3A34">
            <w:pPr>
              <w:rPr>
                <w:rFonts w:ascii="Arial" w:hAnsi="Arial" w:cs="Arial"/>
                <w:sz w:val="20"/>
                <w:szCs w:val="24"/>
              </w:rPr>
            </w:pPr>
            <w:r w:rsidRPr="00437444">
              <w:rPr>
                <w:rFonts w:ascii="Arial" w:hAnsi="Arial" w:cs="Arial"/>
                <w:sz w:val="20"/>
                <w:szCs w:val="24"/>
              </w:rPr>
              <w:t>Launch exchanges</w:t>
            </w:r>
            <w:r w:rsidR="00AC4F60">
              <w:rPr>
                <w:rFonts w:ascii="Arial" w:hAnsi="Arial" w:cs="Arial"/>
                <w:sz w:val="20"/>
                <w:szCs w:val="24"/>
              </w:rPr>
              <w:t>*</w:t>
            </w:r>
          </w:p>
          <w:p w:rsidR="00F83061" w:rsidRPr="00437444" w:rsidRDefault="00F83061" w:rsidP="001B3A34">
            <w:pPr>
              <w:rPr>
                <w:rFonts w:ascii="Arial" w:hAnsi="Arial" w:cs="Arial"/>
                <w:sz w:val="20"/>
                <w:szCs w:val="24"/>
              </w:rPr>
            </w:pPr>
          </w:p>
          <w:p w:rsidR="00437444" w:rsidRPr="00437444" w:rsidRDefault="00437444" w:rsidP="001B3A34">
            <w:pPr>
              <w:rPr>
                <w:rFonts w:ascii="Arial" w:hAnsi="Arial" w:cs="Arial"/>
                <w:sz w:val="20"/>
                <w:szCs w:val="24"/>
              </w:rPr>
            </w:pPr>
            <w:r w:rsidRPr="00437444">
              <w:rPr>
                <w:rFonts w:ascii="Arial" w:hAnsi="Arial" w:cs="Arial"/>
                <w:sz w:val="20"/>
                <w:szCs w:val="24"/>
              </w:rPr>
              <w:t>Launch promotion of ‘CBC quality circle’</w:t>
            </w:r>
          </w:p>
          <w:p w:rsidR="00437444" w:rsidRPr="00437444" w:rsidRDefault="00437444" w:rsidP="001B3A34">
            <w:pPr>
              <w:rPr>
                <w:rFonts w:ascii="Arial" w:hAnsi="Arial" w:cs="Arial"/>
                <w:sz w:val="20"/>
                <w:szCs w:val="24"/>
              </w:rPr>
            </w:pPr>
          </w:p>
        </w:tc>
        <w:tc>
          <w:tcPr>
            <w:tcW w:w="1540" w:type="dxa"/>
            <w:shd w:val="clear" w:color="auto" w:fill="F2F2F2" w:themeFill="background1" w:themeFillShade="F2"/>
          </w:tcPr>
          <w:p w:rsidR="00437444" w:rsidRPr="00437444" w:rsidRDefault="00437444" w:rsidP="001B3A34">
            <w:pPr>
              <w:rPr>
                <w:rFonts w:ascii="Arial" w:hAnsi="Arial" w:cs="Arial"/>
                <w:sz w:val="20"/>
                <w:szCs w:val="24"/>
              </w:rPr>
            </w:pPr>
            <w:r w:rsidRPr="00437444">
              <w:rPr>
                <w:rFonts w:ascii="Arial" w:hAnsi="Arial" w:cs="Arial"/>
                <w:sz w:val="20"/>
                <w:szCs w:val="24"/>
              </w:rPr>
              <w:t>Roll out beneficiaries surveys</w:t>
            </w:r>
          </w:p>
          <w:p w:rsidR="00437444" w:rsidRPr="00437444" w:rsidRDefault="00437444" w:rsidP="001B3A34">
            <w:pPr>
              <w:rPr>
                <w:rFonts w:ascii="Arial" w:hAnsi="Arial" w:cs="Arial"/>
                <w:sz w:val="20"/>
                <w:szCs w:val="24"/>
              </w:rPr>
            </w:pPr>
          </w:p>
          <w:p w:rsidR="00437444" w:rsidRPr="00437444" w:rsidRDefault="00437444" w:rsidP="001B3A34">
            <w:pPr>
              <w:rPr>
                <w:rFonts w:ascii="Arial" w:hAnsi="Arial" w:cs="Arial"/>
                <w:sz w:val="20"/>
                <w:szCs w:val="24"/>
              </w:rPr>
            </w:pPr>
            <w:r w:rsidRPr="00437444">
              <w:rPr>
                <w:rFonts w:ascii="Arial" w:hAnsi="Arial" w:cs="Arial"/>
                <w:sz w:val="20"/>
                <w:szCs w:val="24"/>
              </w:rPr>
              <w:t>Roll out potential beneficiaries surveys</w:t>
            </w:r>
          </w:p>
          <w:p w:rsidR="00437444" w:rsidRPr="00437444" w:rsidRDefault="00437444" w:rsidP="001B3A34">
            <w:pPr>
              <w:rPr>
                <w:rFonts w:ascii="Arial" w:hAnsi="Arial" w:cs="Arial"/>
                <w:sz w:val="20"/>
                <w:szCs w:val="24"/>
              </w:rPr>
            </w:pPr>
          </w:p>
          <w:p w:rsidR="00437444" w:rsidRPr="00437444" w:rsidRDefault="00437444" w:rsidP="001B3A34">
            <w:pPr>
              <w:rPr>
                <w:rFonts w:ascii="Arial" w:hAnsi="Arial" w:cs="Arial"/>
                <w:sz w:val="20"/>
                <w:szCs w:val="24"/>
              </w:rPr>
            </w:pPr>
            <w:r w:rsidRPr="00437444">
              <w:rPr>
                <w:rFonts w:ascii="Arial" w:hAnsi="Arial" w:cs="Arial"/>
                <w:sz w:val="20"/>
                <w:szCs w:val="24"/>
              </w:rPr>
              <w:t>Roll out opinion polls of local population</w:t>
            </w:r>
          </w:p>
          <w:p w:rsidR="00437444" w:rsidRPr="00437444" w:rsidRDefault="00437444" w:rsidP="001B3A34">
            <w:pPr>
              <w:rPr>
                <w:rFonts w:ascii="Arial" w:hAnsi="Arial" w:cs="Arial"/>
                <w:sz w:val="20"/>
                <w:szCs w:val="24"/>
              </w:rPr>
            </w:pPr>
          </w:p>
        </w:tc>
        <w:tc>
          <w:tcPr>
            <w:tcW w:w="1541" w:type="dxa"/>
            <w:shd w:val="clear" w:color="auto" w:fill="F2F2F2" w:themeFill="background1" w:themeFillShade="F2"/>
          </w:tcPr>
          <w:p w:rsidR="00437444" w:rsidRPr="00437444" w:rsidRDefault="00437444" w:rsidP="001B3A34">
            <w:pPr>
              <w:rPr>
                <w:rFonts w:ascii="Arial" w:hAnsi="Arial" w:cs="Arial"/>
                <w:sz w:val="20"/>
                <w:szCs w:val="24"/>
              </w:rPr>
            </w:pPr>
            <w:r w:rsidRPr="00437444">
              <w:rPr>
                <w:rFonts w:ascii="Arial" w:hAnsi="Arial" w:cs="Arial"/>
                <w:sz w:val="20"/>
                <w:szCs w:val="24"/>
              </w:rPr>
              <w:t>Roll out beneficiaries surveys</w:t>
            </w:r>
          </w:p>
          <w:p w:rsidR="00437444" w:rsidRPr="00437444" w:rsidRDefault="00437444" w:rsidP="001B3A34">
            <w:pPr>
              <w:rPr>
                <w:rFonts w:ascii="Arial" w:hAnsi="Arial" w:cs="Arial"/>
                <w:sz w:val="20"/>
                <w:szCs w:val="24"/>
              </w:rPr>
            </w:pPr>
          </w:p>
          <w:p w:rsidR="00437444" w:rsidRPr="00437444" w:rsidRDefault="00437444" w:rsidP="001B3A34">
            <w:pPr>
              <w:rPr>
                <w:rFonts w:ascii="Arial" w:hAnsi="Arial" w:cs="Arial"/>
                <w:sz w:val="20"/>
                <w:szCs w:val="24"/>
              </w:rPr>
            </w:pPr>
            <w:r w:rsidRPr="00437444">
              <w:rPr>
                <w:rFonts w:ascii="Arial" w:hAnsi="Arial" w:cs="Arial"/>
                <w:sz w:val="20"/>
                <w:szCs w:val="24"/>
              </w:rPr>
              <w:t>Roll out potential beneficiaries surveys</w:t>
            </w:r>
          </w:p>
          <w:p w:rsidR="00437444" w:rsidRPr="00437444" w:rsidRDefault="00437444" w:rsidP="001B3A34">
            <w:pPr>
              <w:rPr>
                <w:rFonts w:ascii="Arial" w:hAnsi="Arial" w:cs="Arial"/>
                <w:sz w:val="20"/>
                <w:szCs w:val="24"/>
              </w:rPr>
            </w:pPr>
          </w:p>
          <w:p w:rsidR="00437444" w:rsidRPr="00437444" w:rsidRDefault="00437444" w:rsidP="001B3A34">
            <w:pPr>
              <w:rPr>
                <w:rFonts w:ascii="Arial" w:hAnsi="Arial" w:cs="Arial"/>
                <w:sz w:val="20"/>
                <w:szCs w:val="24"/>
              </w:rPr>
            </w:pPr>
            <w:r w:rsidRPr="00437444">
              <w:rPr>
                <w:rFonts w:ascii="Arial" w:hAnsi="Arial" w:cs="Arial"/>
                <w:sz w:val="20"/>
                <w:szCs w:val="24"/>
              </w:rPr>
              <w:t>Roll out opinion polls of local population</w:t>
            </w:r>
          </w:p>
          <w:p w:rsidR="00437444" w:rsidRPr="00437444" w:rsidRDefault="00437444" w:rsidP="001B3A34">
            <w:pPr>
              <w:rPr>
                <w:rFonts w:ascii="Arial" w:hAnsi="Arial" w:cs="Arial"/>
                <w:sz w:val="20"/>
                <w:szCs w:val="24"/>
              </w:rPr>
            </w:pPr>
          </w:p>
        </w:tc>
        <w:tc>
          <w:tcPr>
            <w:tcW w:w="1541" w:type="dxa"/>
            <w:shd w:val="clear" w:color="auto" w:fill="F2F2F2" w:themeFill="background1" w:themeFillShade="F2"/>
          </w:tcPr>
          <w:p w:rsidR="00437444" w:rsidRPr="00437444" w:rsidRDefault="00437444" w:rsidP="001B3A34">
            <w:pPr>
              <w:rPr>
                <w:rFonts w:ascii="Arial" w:hAnsi="Arial" w:cs="Arial"/>
                <w:sz w:val="20"/>
                <w:szCs w:val="24"/>
              </w:rPr>
            </w:pPr>
            <w:r w:rsidRPr="00437444">
              <w:rPr>
                <w:rFonts w:ascii="Arial" w:hAnsi="Arial" w:cs="Arial"/>
                <w:sz w:val="20"/>
                <w:szCs w:val="24"/>
              </w:rPr>
              <w:t xml:space="preserve">Completion </w:t>
            </w:r>
          </w:p>
        </w:tc>
      </w:tr>
      <w:tr w:rsidR="00437444" w:rsidRPr="001C14FE" w:rsidTr="003D0DB5">
        <w:trPr>
          <w:trHeight w:val="1308"/>
        </w:trPr>
        <w:tc>
          <w:tcPr>
            <w:tcW w:w="1540" w:type="dxa"/>
            <w:shd w:val="clear" w:color="auto" w:fill="F2F2F2" w:themeFill="background1" w:themeFillShade="F2"/>
            <w:vAlign w:val="center"/>
          </w:tcPr>
          <w:p w:rsidR="00437444" w:rsidRPr="001C14FE" w:rsidRDefault="00437444" w:rsidP="001B3A34">
            <w:pPr>
              <w:rPr>
                <w:rFonts w:ascii="Arial" w:hAnsi="Arial" w:cs="Arial"/>
                <w:sz w:val="20"/>
                <w:szCs w:val="24"/>
              </w:rPr>
            </w:pPr>
          </w:p>
        </w:tc>
        <w:tc>
          <w:tcPr>
            <w:tcW w:w="1540" w:type="dxa"/>
            <w:shd w:val="clear" w:color="auto" w:fill="F2F2F2" w:themeFill="background1" w:themeFillShade="F2"/>
            <w:vAlign w:val="center"/>
          </w:tcPr>
          <w:p w:rsidR="00437444" w:rsidRPr="001C14FE" w:rsidRDefault="00B36F31" w:rsidP="001B3A34">
            <w:pPr>
              <w:rPr>
                <w:rFonts w:ascii="Arial" w:hAnsi="Arial" w:cs="Arial"/>
                <w:sz w:val="20"/>
                <w:szCs w:val="24"/>
              </w:rPr>
            </w:pPr>
            <w:r>
              <w:rPr>
                <w:rFonts w:ascii="Arial" w:hAnsi="Arial" w:cs="Arial"/>
                <w:sz w:val="20"/>
                <w:szCs w:val="24"/>
              </w:rPr>
              <w:t xml:space="preserve">Short </w:t>
            </w:r>
            <w:r w:rsidR="00437444">
              <w:rPr>
                <w:rFonts w:ascii="Arial" w:hAnsi="Arial" w:cs="Arial"/>
                <w:sz w:val="20"/>
                <w:szCs w:val="24"/>
              </w:rPr>
              <w:t>report on key lessons (and strategy adaptation, if appropriate)</w:t>
            </w:r>
          </w:p>
        </w:tc>
        <w:tc>
          <w:tcPr>
            <w:tcW w:w="1540" w:type="dxa"/>
            <w:shd w:val="clear" w:color="auto" w:fill="F2F2F2" w:themeFill="background1" w:themeFillShade="F2"/>
            <w:vAlign w:val="center"/>
          </w:tcPr>
          <w:p w:rsidR="00437444" w:rsidRPr="001C14FE" w:rsidRDefault="00B36F31" w:rsidP="001B3A34">
            <w:pPr>
              <w:rPr>
                <w:rFonts w:ascii="Arial" w:hAnsi="Arial" w:cs="Arial"/>
                <w:sz w:val="20"/>
                <w:szCs w:val="24"/>
              </w:rPr>
            </w:pPr>
            <w:r>
              <w:rPr>
                <w:rFonts w:ascii="Arial" w:hAnsi="Arial" w:cs="Arial"/>
                <w:sz w:val="20"/>
                <w:szCs w:val="24"/>
              </w:rPr>
              <w:t xml:space="preserve">Short </w:t>
            </w:r>
            <w:r w:rsidR="00437444">
              <w:rPr>
                <w:rFonts w:ascii="Arial" w:hAnsi="Arial" w:cs="Arial"/>
                <w:sz w:val="20"/>
                <w:szCs w:val="24"/>
              </w:rPr>
              <w:t>report on key lessons (and strategy adaptation, if appropriate)</w:t>
            </w:r>
          </w:p>
        </w:tc>
        <w:tc>
          <w:tcPr>
            <w:tcW w:w="1540" w:type="dxa"/>
            <w:shd w:val="clear" w:color="auto" w:fill="F2F2F2" w:themeFill="background1" w:themeFillShade="F2"/>
            <w:vAlign w:val="center"/>
          </w:tcPr>
          <w:p w:rsidR="00437444" w:rsidRPr="001C14FE" w:rsidRDefault="00B36F31" w:rsidP="001B3A34">
            <w:pPr>
              <w:rPr>
                <w:rFonts w:ascii="Arial" w:hAnsi="Arial" w:cs="Arial"/>
                <w:sz w:val="20"/>
                <w:szCs w:val="24"/>
              </w:rPr>
            </w:pPr>
            <w:r>
              <w:rPr>
                <w:rFonts w:ascii="Arial" w:hAnsi="Arial" w:cs="Arial"/>
                <w:sz w:val="20"/>
                <w:szCs w:val="24"/>
              </w:rPr>
              <w:t xml:space="preserve">Short </w:t>
            </w:r>
            <w:r w:rsidR="00437444">
              <w:rPr>
                <w:rFonts w:ascii="Arial" w:hAnsi="Arial" w:cs="Arial"/>
                <w:sz w:val="20"/>
                <w:szCs w:val="24"/>
              </w:rPr>
              <w:t>report on key lessons (and strategy adaptation, if appropriate)</w:t>
            </w:r>
          </w:p>
        </w:tc>
        <w:tc>
          <w:tcPr>
            <w:tcW w:w="1541" w:type="dxa"/>
            <w:shd w:val="clear" w:color="auto" w:fill="F2F2F2" w:themeFill="background1" w:themeFillShade="F2"/>
            <w:vAlign w:val="center"/>
          </w:tcPr>
          <w:p w:rsidR="00437444" w:rsidRPr="001C14FE" w:rsidRDefault="00B36F31" w:rsidP="001B3A34">
            <w:pPr>
              <w:rPr>
                <w:rFonts w:ascii="Arial" w:hAnsi="Arial" w:cs="Arial"/>
                <w:sz w:val="20"/>
                <w:szCs w:val="24"/>
              </w:rPr>
            </w:pPr>
            <w:r>
              <w:rPr>
                <w:rFonts w:ascii="Arial" w:hAnsi="Arial" w:cs="Arial"/>
                <w:sz w:val="20"/>
                <w:szCs w:val="24"/>
              </w:rPr>
              <w:t xml:space="preserve">Short </w:t>
            </w:r>
            <w:r w:rsidR="00437444">
              <w:rPr>
                <w:rFonts w:ascii="Arial" w:hAnsi="Arial" w:cs="Arial"/>
                <w:sz w:val="20"/>
                <w:szCs w:val="24"/>
              </w:rPr>
              <w:t>report on key lessons (and strategy adaptation, if appropriate)</w:t>
            </w:r>
          </w:p>
        </w:tc>
        <w:tc>
          <w:tcPr>
            <w:tcW w:w="1541" w:type="dxa"/>
            <w:shd w:val="clear" w:color="auto" w:fill="F2F2F2" w:themeFill="background1" w:themeFillShade="F2"/>
            <w:vAlign w:val="center"/>
          </w:tcPr>
          <w:p w:rsidR="00437444" w:rsidRPr="001C14FE" w:rsidRDefault="00437444" w:rsidP="001B3A34">
            <w:pPr>
              <w:rPr>
                <w:rFonts w:ascii="Arial" w:hAnsi="Arial" w:cs="Arial"/>
                <w:sz w:val="20"/>
                <w:szCs w:val="24"/>
              </w:rPr>
            </w:pPr>
          </w:p>
        </w:tc>
      </w:tr>
      <w:tr w:rsidR="00437444" w:rsidRPr="001C14FE" w:rsidTr="003D0DB5">
        <w:trPr>
          <w:trHeight w:val="1128"/>
        </w:trPr>
        <w:tc>
          <w:tcPr>
            <w:tcW w:w="1540" w:type="dxa"/>
            <w:shd w:val="clear" w:color="auto" w:fill="F2F2F2" w:themeFill="background1" w:themeFillShade="F2"/>
            <w:vAlign w:val="center"/>
          </w:tcPr>
          <w:p w:rsidR="00437444" w:rsidRPr="001C14FE" w:rsidRDefault="00437444" w:rsidP="001B3A34">
            <w:pPr>
              <w:rPr>
                <w:rFonts w:ascii="Arial" w:hAnsi="Arial" w:cs="Arial"/>
                <w:sz w:val="20"/>
                <w:szCs w:val="24"/>
              </w:rPr>
            </w:pPr>
            <w:r>
              <w:rPr>
                <w:rFonts w:ascii="Arial" w:hAnsi="Arial" w:cs="Arial"/>
                <w:sz w:val="20"/>
                <w:szCs w:val="24"/>
              </w:rPr>
              <w:t>Progress report, as part of 6-monthly report</w:t>
            </w:r>
          </w:p>
        </w:tc>
        <w:tc>
          <w:tcPr>
            <w:tcW w:w="1540" w:type="dxa"/>
            <w:shd w:val="clear" w:color="auto" w:fill="F2F2F2" w:themeFill="background1" w:themeFillShade="F2"/>
            <w:vAlign w:val="center"/>
          </w:tcPr>
          <w:p w:rsidR="00437444" w:rsidRPr="001C14FE" w:rsidRDefault="00437444" w:rsidP="001B3A34">
            <w:pPr>
              <w:rPr>
                <w:rFonts w:ascii="Arial" w:hAnsi="Arial" w:cs="Arial"/>
                <w:sz w:val="20"/>
                <w:szCs w:val="24"/>
              </w:rPr>
            </w:pPr>
            <w:r>
              <w:rPr>
                <w:rFonts w:ascii="Arial" w:hAnsi="Arial" w:cs="Arial"/>
                <w:sz w:val="20"/>
                <w:szCs w:val="24"/>
              </w:rPr>
              <w:t>Progress report, as part of 6-monthly report</w:t>
            </w:r>
          </w:p>
        </w:tc>
        <w:tc>
          <w:tcPr>
            <w:tcW w:w="1540" w:type="dxa"/>
            <w:shd w:val="clear" w:color="auto" w:fill="F2F2F2" w:themeFill="background1" w:themeFillShade="F2"/>
            <w:vAlign w:val="center"/>
          </w:tcPr>
          <w:p w:rsidR="00437444" w:rsidRPr="001C14FE" w:rsidRDefault="00437444" w:rsidP="001B3A34">
            <w:pPr>
              <w:rPr>
                <w:rFonts w:ascii="Arial" w:hAnsi="Arial" w:cs="Arial"/>
                <w:sz w:val="20"/>
                <w:szCs w:val="24"/>
              </w:rPr>
            </w:pPr>
            <w:r>
              <w:rPr>
                <w:rFonts w:ascii="Arial" w:hAnsi="Arial" w:cs="Arial"/>
                <w:sz w:val="20"/>
                <w:szCs w:val="24"/>
              </w:rPr>
              <w:t>Progress report, as part of 6-monthly report</w:t>
            </w:r>
          </w:p>
        </w:tc>
        <w:tc>
          <w:tcPr>
            <w:tcW w:w="1540" w:type="dxa"/>
            <w:shd w:val="clear" w:color="auto" w:fill="F2F2F2" w:themeFill="background1" w:themeFillShade="F2"/>
            <w:vAlign w:val="center"/>
          </w:tcPr>
          <w:p w:rsidR="00437444" w:rsidRPr="001C14FE" w:rsidRDefault="00437444" w:rsidP="001B3A34">
            <w:pPr>
              <w:rPr>
                <w:rFonts w:ascii="Arial" w:hAnsi="Arial" w:cs="Arial"/>
                <w:sz w:val="20"/>
                <w:szCs w:val="24"/>
              </w:rPr>
            </w:pPr>
            <w:r>
              <w:rPr>
                <w:rFonts w:ascii="Arial" w:hAnsi="Arial" w:cs="Arial"/>
                <w:sz w:val="20"/>
                <w:szCs w:val="24"/>
              </w:rPr>
              <w:t>Progress report, as part of 6-monthly report</w:t>
            </w:r>
          </w:p>
        </w:tc>
        <w:tc>
          <w:tcPr>
            <w:tcW w:w="1541" w:type="dxa"/>
            <w:shd w:val="clear" w:color="auto" w:fill="F2F2F2" w:themeFill="background1" w:themeFillShade="F2"/>
            <w:vAlign w:val="center"/>
          </w:tcPr>
          <w:p w:rsidR="00437444" w:rsidRPr="001C14FE" w:rsidRDefault="00437444" w:rsidP="001B3A34">
            <w:pPr>
              <w:rPr>
                <w:rFonts w:ascii="Arial" w:hAnsi="Arial" w:cs="Arial"/>
                <w:sz w:val="20"/>
                <w:szCs w:val="24"/>
              </w:rPr>
            </w:pPr>
            <w:r>
              <w:rPr>
                <w:rFonts w:ascii="Arial" w:hAnsi="Arial" w:cs="Arial"/>
                <w:sz w:val="20"/>
                <w:szCs w:val="24"/>
              </w:rPr>
              <w:t>Progress report, as part of 6-monthly report</w:t>
            </w:r>
          </w:p>
        </w:tc>
        <w:tc>
          <w:tcPr>
            <w:tcW w:w="1541" w:type="dxa"/>
            <w:shd w:val="clear" w:color="auto" w:fill="F2F2F2" w:themeFill="background1" w:themeFillShade="F2"/>
            <w:vAlign w:val="center"/>
          </w:tcPr>
          <w:p w:rsidR="00437444" w:rsidRPr="001C14FE" w:rsidRDefault="00437444" w:rsidP="001B3A34">
            <w:pPr>
              <w:rPr>
                <w:rFonts w:ascii="Arial" w:hAnsi="Arial" w:cs="Arial"/>
                <w:sz w:val="20"/>
                <w:szCs w:val="24"/>
              </w:rPr>
            </w:pPr>
            <w:r>
              <w:rPr>
                <w:rFonts w:ascii="Arial" w:hAnsi="Arial" w:cs="Arial"/>
                <w:sz w:val="20"/>
                <w:szCs w:val="24"/>
              </w:rPr>
              <w:t>Results achieved, as part of final report</w:t>
            </w:r>
          </w:p>
        </w:tc>
      </w:tr>
    </w:tbl>
    <w:p w:rsidR="00DF6889" w:rsidRPr="00AC4F60" w:rsidRDefault="00AC4F60" w:rsidP="001B3A34">
      <w:pPr>
        <w:spacing w:after="0" w:line="240" w:lineRule="auto"/>
        <w:rPr>
          <w:rFonts w:ascii="Arial" w:hAnsi="Arial" w:cs="Arial"/>
          <w:sz w:val="18"/>
          <w:szCs w:val="18"/>
        </w:rPr>
      </w:pPr>
      <w:r w:rsidRPr="00AC4F60">
        <w:rPr>
          <w:rFonts w:ascii="Arial" w:hAnsi="Arial" w:cs="Arial"/>
          <w:sz w:val="18"/>
          <w:szCs w:val="18"/>
        </w:rPr>
        <w:t xml:space="preserve">*exchanges are </w:t>
      </w:r>
      <w:r>
        <w:rPr>
          <w:rFonts w:ascii="Arial" w:hAnsi="Arial" w:cs="Arial"/>
          <w:sz w:val="18"/>
          <w:szCs w:val="18"/>
        </w:rPr>
        <w:t>connected with the activity for provision of support for the transition from direct to indirect management mode.</w:t>
      </w:r>
    </w:p>
    <w:p w:rsidR="00AC4F60" w:rsidRDefault="00AC4F60" w:rsidP="001B3A34">
      <w:pPr>
        <w:spacing w:after="0" w:line="240" w:lineRule="auto"/>
        <w:rPr>
          <w:rFonts w:ascii="Arial" w:hAnsi="Arial" w:cs="Arial"/>
        </w:rPr>
      </w:pPr>
    </w:p>
    <w:p w:rsidR="00971920" w:rsidRPr="00971920" w:rsidRDefault="00971920" w:rsidP="001B3A34">
      <w:pPr>
        <w:spacing w:after="0" w:line="240" w:lineRule="auto"/>
        <w:rPr>
          <w:rFonts w:ascii="Arial" w:hAnsi="Arial" w:cs="Arial"/>
        </w:rPr>
      </w:pPr>
      <w:r w:rsidRPr="00971920">
        <w:rPr>
          <w:rFonts w:ascii="Arial" w:hAnsi="Arial" w:cs="Arial"/>
        </w:rPr>
        <w:t xml:space="preserve">It will be further discussed and analysed </w:t>
      </w:r>
      <w:r>
        <w:rPr>
          <w:rFonts w:ascii="Arial" w:hAnsi="Arial" w:cs="Arial"/>
        </w:rPr>
        <w:t xml:space="preserve">if the roll out of opinions and surveys will be on yearly or on 6 monthly </w:t>
      </w:r>
      <w:proofErr w:type="gramStart"/>
      <w:r>
        <w:rPr>
          <w:rFonts w:ascii="Arial" w:hAnsi="Arial" w:cs="Arial"/>
        </w:rPr>
        <w:t>basis</w:t>
      </w:r>
      <w:proofErr w:type="gramEnd"/>
      <w:r>
        <w:rPr>
          <w:rFonts w:ascii="Arial" w:hAnsi="Arial" w:cs="Arial"/>
        </w:rPr>
        <w:t>.</w:t>
      </w:r>
    </w:p>
    <w:sectPr w:rsidR="00971920" w:rsidRPr="00971920" w:rsidSect="004F601D">
      <w:headerReference w:type="default" r:id="rId12"/>
      <w:footerReference w:type="default" r:id="rId13"/>
      <w:headerReference w:type="first" r:id="rId14"/>
      <w:footerReference w:type="first" r:id="rId15"/>
      <w:pgSz w:w="11906" w:h="16838" w:code="9"/>
      <w:pgMar w:top="1440" w:right="1440" w:bottom="900" w:left="1440"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12C" w:rsidRDefault="0078012C" w:rsidP="004B692E">
      <w:pPr>
        <w:spacing w:after="0" w:line="240" w:lineRule="auto"/>
      </w:pPr>
      <w:r>
        <w:separator/>
      </w:r>
    </w:p>
  </w:endnote>
  <w:endnote w:type="continuationSeparator" w:id="0">
    <w:p w:rsidR="0078012C" w:rsidRDefault="0078012C" w:rsidP="004B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A0" w:firstRow="1" w:lastRow="0" w:firstColumn="1" w:lastColumn="0" w:noHBand="0" w:noVBand="0"/>
    </w:tblPr>
    <w:tblGrid>
      <w:gridCol w:w="2399"/>
      <w:gridCol w:w="4091"/>
      <w:gridCol w:w="2536"/>
    </w:tblGrid>
    <w:tr w:rsidR="00983EB4" w:rsidRPr="00E90513" w:rsidTr="00E66891">
      <w:tc>
        <w:tcPr>
          <w:tcW w:w="1329" w:type="pct"/>
        </w:tcPr>
        <w:p w:rsidR="00983EB4" w:rsidRPr="00C736CF" w:rsidRDefault="00983EB4" w:rsidP="00F373A0">
          <w:pPr>
            <w:pStyle w:val="Footer"/>
            <w:tabs>
              <w:tab w:val="clear" w:pos="4536"/>
              <w:tab w:val="clear" w:pos="9072"/>
            </w:tabs>
            <w:rPr>
              <w:sz w:val="18"/>
              <w:szCs w:val="18"/>
            </w:rPr>
          </w:pPr>
        </w:p>
      </w:tc>
      <w:tc>
        <w:tcPr>
          <w:tcW w:w="2266" w:type="pct"/>
        </w:tcPr>
        <w:p w:rsidR="00983EB4" w:rsidRPr="00C736CF" w:rsidRDefault="00983EB4" w:rsidP="00F373A0">
          <w:pPr>
            <w:pStyle w:val="Footer"/>
            <w:tabs>
              <w:tab w:val="clear" w:pos="4536"/>
              <w:tab w:val="clear" w:pos="9072"/>
            </w:tabs>
            <w:rPr>
              <w:sz w:val="18"/>
              <w:szCs w:val="18"/>
            </w:rPr>
          </w:pPr>
        </w:p>
      </w:tc>
      <w:tc>
        <w:tcPr>
          <w:tcW w:w="1405" w:type="pct"/>
        </w:tcPr>
        <w:p w:rsidR="00983EB4" w:rsidRPr="00E90513" w:rsidRDefault="00983EB4" w:rsidP="00F373A0">
          <w:pPr>
            <w:pStyle w:val="Footer"/>
            <w:tabs>
              <w:tab w:val="clear" w:pos="4536"/>
              <w:tab w:val="clear" w:pos="9072"/>
            </w:tabs>
            <w:ind w:right="57"/>
            <w:jc w:val="right"/>
            <w:rPr>
              <w:rFonts w:ascii="Arial" w:hAnsi="Arial" w:cs="Arial"/>
              <w:sz w:val="14"/>
              <w:szCs w:val="14"/>
            </w:rPr>
          </w:pPr>
          <w:r w:rsidRPr="00E90513">
            <w:rPr>
              <w:rFonts w:ascii="Arial" w:hAnsi="Arial" w:cs="Arial"/>
              <w:sz w:val="14"/>
              <w:szCs w:val="14"/>
            </w:rPr>
            <w:t xml:space="preserve">Page </w:t>
          </w:r>
          <w:r w:rsidR="00A31930" w:rsidRPr="00E90513">
            <w:rPr>
              <w:rFonts w:ascii="Arial" w:hAnsi="Arial" w:cs="Arial"/>
              <w:b/>
              <w:sz w:val="14"/>
              <w:szCs w:val="14"/>
            </w:rPr>
            <w:fldChar w:fldCharType="begin"/>
          </w:r>
          <w:r w:rsidRPr="00E90513">
            <w:rPr>
              <w:rFonts w:ascii="Arial" w:hAnsi="Arial" w:cs="Arial"/>
              <w:b/>
              <w:sz w:val="14"/>
              <w:szCs w:val="14"/>
            </w:rPr>
            <w:instrText xml:space="preserve"> PAGE  \* Arabic  \* MERGEFORMAT </w:instrText>
          </w:r>
          <w:r w:rsidR="00A31930" w:rsidRPr="00E90513">
            <w:rPr>
              <w:rFonts w:ascii="Arial" w:hAnsi="Arial" w:cs="Arial"/>
              <w:b/>
              <w:sz w:val="14"/>
              <w:szCs w:val="14"/>
            </w:rPr>
            <w:fldChar w:fldCharType="separate"/>
          </w:r>
          <w:r w:rsidR="00375636">
            <w:rPr>
              <w:rFonts w:ascii="Arial" w:hAnsi="Arial" w:cs="Arial"/>
              <w:b/>
              <w:noProof/>
              <w:sz w:val="14"/>
              <w:szCs w:val="14"/>
            </w:rPr>
            <w:t>2</w:t>
          </w:r>
          <w:r w:rsidR="00A31930" w:rsidRPr="00E90513">
            <w:rPr>
              <w:rFonts w:ascii="Arial" w:hAnsi="Arial" w:cs="Arial"/>
              <w:b/>
              <w:sz w:val="14"/>
              <w:szCs w:val="14"/>
            </w:rPr>
            <w:fldChar w:fldCharType="end"/>
          </w:r>
          <w:r w:rsidRPr="00E90513">
            <w:rPr>
              <w:rFonts w:ascii="Arial" w:hAnsi="Arial" w:cs="Arial"/>
              <w:sz w:val="14"/>
              <w:szCs w:val="14"/>
            </w:rPr>
            <w:t xml:space="preserve"> of </w:t>
          </w:r>
          <w:r w:rsidR="0078012C">
            <w:fldChar w:fldCharType="begin"/>
          </w:r>
          <w:r w:rsidR="0078012C">
            <w:instrText xml:space="preserve"> NUMPAGES  \* Arabic  \* MERGEFORMAT </w:instrText>
          </w:r>
          <w:r w:rsidR="0078012C">
            <w:fldChar w:fldCharType="separate"/>
          </w:r>
          <w:r w:rsidR="00375636" w:rsidRPr="00375636">
            <w:rPr>
              <w:rFonts w:ascii="Arial" w:hAnsi="Arial" w:cs="Arial"/>
              <w:b/>
              <w:noProof/>
              <w:sz w:val="14"/>
              <w:szCs w:val="14"/>
            </w:rPr>
            <w:t>14</w:t>
          </w:r>
          <w:r w:rsidR="0078012C">
            <w:rPr>
              <w:rFonts w:ascii="Arial" w:hAnsi="Arial" w:cs="Arial"/>
              <w:b/>
              <w:noProof/>
              <w:sz w:val="14"/>
              <w:szCs w:val="14"/>
            </w:rPr>
            <w:fldChar w:fldCharType="end"/>
          </w:r>
        </w:p>
      </w:tc>
    </w:tr>
  </w:tbl>
  <w:p w:rsidR="00983EB4" w:rsidRDefault="00983E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B4" w:rsidRPr="002A5C7B" w:rsidRDefault="00983EB4" w:rsidP="002A5C7B">
    <w:pPr>
      <w:pStyle w:val="Footer"/>
      <w:rPr>
        <w:rFonts w:ascii="Segoe UI" w:hAnsi="Segoe UI" w:cs="Segoe UI"/>
        <w:sz w:val="12"/>
        <w:szCs w:val="12"/>
        <w:lang w:val="en-US"/>
      </w:rPr>
    </w:pPr>
    <w:r>
      <w:rPr>
        <w:rFonts w:ascii="Segoe UI" w:hAnsi="Segoe UI" w:cs="Segoe UI"/>
        <w:noProof/>
        <w:sz w:val="12"/>
        <w:szCs w:val="12"/>
        <w:lang w:val="en-US"/>
      </w:rPr>
      <w:drawing>
        <wp:anchor distT="0" distB="0" distL="114300" distR="114300" simplePos="0" relativeHeight="251670528" behindDoc="1" locked="0" layoutInCell="1" allowOverlap="1">
          <wp:simplePos x="0" y="0"/>
          <wp:positionH relativeFrom="column">
            <wp:posOffset>4714240</wp:posOffset>
          </wp:positionH>
          <wp:positionV relativeFrom="paragraph">
            <wp:posOffset>3175</wp:posOffset>
          </wp:positionV>
          <wp:extent cx="992505" cy="517525"/>
          <wp:effectExtent l="0" t="0" r="0" b="0"/>
          <wp:wrapThrough wrapText="bothSides">
            <wp:wrapPolygon edited="0">
              <wp:start x="0" y="0"/>
              <wp:lineTo x="0" y="20672"/>
              <wp:lineTo x="21144" y="20672"/>
              <wp:lineTo x="2114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is-de-rgb-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2505" cy="517525"/>
                  </a:xfrm>
                  <a:prstGeom prst="rect">
                    <a:avLst/>
                  </a:prstGeom>
                </pic:spPr>
              </pic:pic>
            </a:graphicData>
          </a:graphic>
        </wp:anchor>
      </w:drawing>
    </w:r>
    <w:r w:rsidR="0078012C">
      <w:rPr>
        <w:rFonts w:ascii="Segoe UI" w:hAnsi="Segoe UI" w:cs="Segoe UI"/>
        <w:noProof/>
        <w:sz w:val="12"/>
        <w:szCs w:val="12"/>
        <w:lang w:val="en-US"/>
      </w:rPr>
      <w:pict>
        <v:shapetype id="_x0000_t32" coordsize="21600,21600" o:spt="32" o:oned="t" path="m,l21600,21600e" filled="f">
          <v:path arrowok="t" fillok="f" o:connecttype="none"/>
          <o:lock v:ext="edit" shapetype="t"/>
        </v:shapetype>
        <v:shape id="Straight Arrow Connector 6" o:spid="_x0000_s2049" type="#_x0000_t32" style="position:absolute;margin-left:-.4pt;margin-top:-1pt;width:451.2pt;height:0;z-index:25166950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IEFJgIAAEo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"/>
      </w:pict>
    </w:r>
    <w:r w:rsidRPr="002A5C7B">
      <w:rPr>
        <w:rFonts w:ascii="Segoe UI" w:hAnsi="Segoe UI" w:cs="Segoe UI"/>
        <w:sz w:val="12"/>
        <w:szCs w:val="12"/>
        <w:lang w:val="en-US"/>
      </w:rPr>
      <w:t>Belgrade Office</w:t>
    </w:r>
  </w:p>
  <w:p w:rsidR="00375636" w:rsidRDefault="00375636" w:rsidP="00DB2F91">
    <w:pPr>
      <w:pStyle w:val="Footer"/>
      <w:rPr>
        <w:rFonts w:ascii="Segoe UI" w:hAnsi="Segoe UI" w:cs="Segoe UI"/>
        <w:sz w:val="12"/>
        <w:szCs w:val="12"/>
        <w:lang w:val="hr-HR"/>
      </w:rPr>
    </w:pPr>
    <w:proofErr w:type="spellStart"/>
    <w:r>
      <w:rPr>
        <w:rFonts w:ascii="Segoe UI" w:hAnsi="Segoe UI" w:cs="Segoe UI"/>
        <w:sz w:val="12"/>
        <w:szCs w:val="12"/>
        <w:lang w:val="en-US"/>
      </w:rPr>
      <w:t>Svetozara</w:t>
    </w:r>
    <w:proofErr w:type="spellEnd"/>
    <w:r>
      <w:rPr>
        <w:rFonts w:ascii="Segoe UI" w:hAnsi="Segoe UI" w:cs="Segoe UI"/>
        <w:sz w:val="12"/>
        <w:szCs w:val="12"/>
        <w:lang w:val="en-US"/>
      </w:rPr>
      <w:t xml:space="preserve"> </w:t>
    </w:r>
    <w:proofErr w:type="spellStart"/>
    <w:r>
      <w:rPr>
        <w:rFonts w:ascii="Segoe UI" w:hAnsi="Segoe UI" w:cs="Segoe UI"/>
        <w:sz w:val="12"/>
        <w:szCs w:val="12"/>
        <w:lang w:val="en-US"/>
      </w:rPr>
      <w:t>Markovi</w:t>
    </w:r>
    <w:proofErr w:type="spellEnd"/>
    <w:r>
      <w:rPr>
        <w:rFonts w:ascii="Segoe UI" w:hAnsi="Segoe UI" w:cs="Segoe UI"/>
        <w:sz w:val="12"/>
        <w:szCs w:val="12"/>
        <w:lang w:val="hr-HR"/>
      </w:rPr>
      <w:t>ća 40b/III</w:t>
    </w:r>
  </w:p>
  <w:p w:rsidR="00983EB4" w:rsidRDefault="00983EB4" w:rsidP="00DB2F91">
    <w:pPr>
      <w:pStyle w:val="Footer"/>
      <w:rPr>
        <w:rFonts w:ascii="Segoe UI" w:hAnsi="Segoe UI" w:cs="Segoe UI"/>
        <w:sz w:val="12"/>
        <w:szCs w:val="12"/>
        <w:lang w:val="en-US"/>
      </w:rPr>
    </w:pPr>
    <w:r w:rsidRPr="002A5C7B">
      <w:rPr>
        <w:rFonts w:ascii="Segoe UI" w:hAnsi="Segoe UI" w:cs="Segoe UI"/>
        <w:sz w:val="12"/>
        <w:szCs w:val="12"/>
        <w:lang w:val="en-US"/>
      </w:rPr>
      <w:t xml:space="preserve">+381 </w:t>
    </w:r>
    <w:r w:rsidR="00375636">
      <w:rPr>
        <w:rFonts w:ascii="Segoe UI" w:hAnsi="Segoe UI" w:cs="Segoe UI"/>
        <w:sz w:val="12"/>
        <w:szCs w:val="12"/>
        <w:lang w:val="en-US"/>
      </w:rPr>
      <w:t>11 364 05 14</w:t>
    </w:r>
  </w:p>
  <w:p w:rsidR="00983EB4" w:rsidRPr="002A5C7B" w:rsidRDefault="00983EB4" w:rsidP="002A5C7B">
    <w:pPr>
      <w:pStyle w:val="Footer"/>
      <w:rPr>
        <w:rFonts w:ascii="Segoe UI" w:hAnsi="Segoe UI" w:cs="Segoe UI"/>
        <w:sz w:val="12"/>
        <w:szCs w:val="12"/>
        <w:lang w:val="en-US"/>
      </w:rPr>
    </w:pPr>
    <w:r>
      <w:rPr>
        <w:rFonts w:ascii="Segoe UI" w:hAnsi="Segoe UI" w:cs="Segoe UI"/>
        <w:sz w:val="12"/>
        <w:szCs w:val="12"/>
        <w:lang w:val="en-US"/>
      </w:rPr>
      <w:t>---------------------</w:t>
    </w:r>
    <w:r>
      <w:rPr>
        <w:rFonts w:ascii="Segoe UI" w:hAnsi="Segoe UI" w:cs="Segoe UI"/>
        <w:sz w:val="12"/>
        <w:szCs w:val="12"/>
        <w:lang w:val="en-US"/>
      </w:rPr>
      <w:tab/>
    </w:r>
    <w:r>
      <w:rPr>
        <w:rFonts w:ascii="Segoe UI" w:hAnsi="Segoe UI" w:cs="Segoe UI"/>
        <w:sz w:val="12"/>
        <w:szCs w:val="12"/>
        <w:lang w:val="en-US"/>
      </w:rPr>
      <w:tab/>
    </w:r>
  </w:p>
  <w:p w:rsidR="00983EB4" w:rsidRDefault="0078012C" w:rsidP="002A5C7B">
    <w:pPr>
      <w:pStyle w:val="Footer"/>
      <w:tabs>
        <w:tab w:val="left" w:pos="7513"/>
        <w:tab w:val="left" w:pos="7655"/>
      </w:tabs>
      <w:rPr>
        <w:rFonts w:ascii="Segoe UI" w:hAnsi="Segoe UI" w:cs="Segoe UI"/>
        <w:sz w:val="12"/>
        <w:szCs w:val="12"/>
      </w:rPr>
    </w:pPr>
    <w:hyperlink r:id="rId2" w:history="1">
      <w:r w:rsidR="00983EB4" w:rsidRPr="00B224E0">
        <w:rPr>
          <w:rStyle w:val="Hyperlink"/>
          <w:rFonts w:ascii="Segoe UI" w:hAnsi="Segoe UI" w:cs="Segoe UI"/>
          <w:sz w:val="12"/>
          <w:szCs w:val="12"/>
          <w:lang w:val="en-US"/>
        </w:rPr>
        <w:t>office@cbibplus.eu</w:t>
      </w:r>
    </w:hyperlink>
    <w:r w:rsidR="00983EB4">
      <w:rPr>
        <w:rFonts w:ascii="Segoe UI" w:hAnsi="Segoe UI" w:cs="Segoe UI"/>
        <w:sz w:val="12"/>
        <w:szCs w:val="12"/>
      </w:rPr>
      <w:tab/>
    </w:r>
    <w:r w:rsidR="00983EB4">
      <w:rPr>
        <w:rFonts w:ascii="Segoe UI" w:hAnsi="Segoe UI" w:cs="Segoe UI"/>
        <w:sz w:val="12"/>
        <w:szCs w:val="12"/>
      </w:rPr>
      <w:tab/>
      <w:t>A project implemented</w:t>
    </w:r>
  </w:p>
  <w:p w:rsidR="00983EB4" w:rsidRPr="002A5C7B" w:rsidRDefault="0078012C" w:rsidP="002A5C7B">
    <w:pPr>
      <w:pStyle w:val="Footer"/>
      <w:tabs>
        <w:tab w:val="left" w:pos="7513"/>
        <w:tab w:val="left" w:pos="7655"/>
      </w:tabs>
    </w:pPr>
    <w:hyperlink r:id="rId3" w:history="1">
      <w:r w:rsidR="00983EB4" w:rsidRPr="00B224E0">
        <w:rPr>
          <w:rStyle w:val="Hyperlink"/>
          <w:rFonts w:ascii="Segoe UI" w:hAnsi="Segoe UI" w:cs="Segoe UI"/>
          <w:sz w:val="12"/>
          <w:szCs w:val="12"/>
        </w:rPr>
        <w:t>www.cbibplus.eu</w:t>
      </w:r>
    </w:hyperlink>
    <w:r w:rsidR="00983EB4">
      <w:rPr>
        <w:rFonts w:ascii="Segoe UI" w:hAnsi="Segoe UI" w:cs="Segoe UI"/>
        <w:sz w:val="12"/>
        <w:szCs w:val="12"/>
      </w:rPr>
      <w:t xml:space="preserve"> </w:t>
    </w:r>
    <w:r w:rsidR="00983EB4">
      <w:rPr>
        <w:rFonts w:ascii="Segoe UI" w:hAnsi="Segoe UI" w:cs="Segoe UI"/>
        <w:sz w:val="12"/>
        <w:szCs w:val="12"/>
      </w:rPr>
      <w:tab/>
    </w:r>
    <w:r w:rsidR="00983EB4">
      <w:rPr>
        <w:rFonts w:ascii="Segoe UI" w:hAnsi="Segoe UI" w:cs="Segoe UI"/>
        <w:sz w:val="12"/>
        <w:szCs w:val="12"/>
      </w:rPr>
      <w:tab/>
      <w:t>by a consortium led by GIZ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12C" w:rsidRDefault="0078012C" w:rsidP="004B692E">
      <w:pPr>
        <w:spacing w:after="0" w:line="240" w:lineRule="auto"/>
      </w:pPr>
      <w:r>
        <w:separator/>
      </w:r>
    </w:p>
  </w:footnote>
  <w:footnote w:type="continuationSeparator" w:id="0">
    <w:p w:rsidR="0078012C" w:rsidRDefault="0078012C" w:rsidP="004B692E">
      <w:pPr>
        <w:spacing w:after="0" w:line="240" w:lineRule="auto"/>
      </w:pPr>
      <w:r>
        <w:continuationSeparator/>
      </w:r>
    </w:p>
  </w:footnote>
  <w:footnote w:id="1">
    <w:p w:rsidR="00983EB4" w:rsidRDefault="00983EB4" w:rsidP="00364ECB">
      <w:pPr>
        <w:pStyle w:val="FootnoteText"/>
        <w:spacing w:after="0"/>
        <w:rPr>
          <w:sz w:val="16"/>
        </w:rPr>
      </w:pPr>
      <w:r>
        <w:rPr>
          <w:rStyle w:val="FootnoteReference"/>
        </w:rPr>
        <w:footnoteRef/>
      </w:r>
      <w:r>
        <w:rPr>
          <w:sz w:val="16"/>
        </w:rPr>
        <w:t xml:space="preserve"> </w:t>
      </w:r>
      <w:hyperlink r:id="rId1" w:history="1">
        <w:r w:rsidRPr="00926288">
          <w:rPr>
            <w:rStyle w:val="Hyperlink"/>
            <w:sz w:val="16"/>
          </w:rPr>
          <w:t>http://www.interact-eu.net/focus_on_etc_2014/survey_let_s_capitalise/512/20077</w:t>
        </w:r>
      </w:hyperlink>
      <w:r>
        <w:rPr>
          <w:sz w:val="16"/>
        </w:rPr>
        <w:t xml:space="preserve"> </w:t>
      </w:r>
    </w:p>
    <w:p w:rsidR="00983EB4" w:rsidRDefault="0078012C" w:rsidP="00364ECB">
      <w:pPr>
        <w:pStyle w:val="FootnoteText"/>
        <w:spacing w:after="0"/>
      </w:pPr>
      <w:hyperlink r:id="rId2" w:history="1">
        <w:r w:rsidR="00983EB4" w:rsidRPr="00926288">
          <w:rPr>
            <w:rStyle w:val="Hyperlink"/>
            <w:sz w:val="16"/>
          </w:rPr>
          <w:t>http://admin.interact-eu.net/downloads/9650/INTERACT_Capitalisation_Survey_s_background_paper_30_11_2015.pdf</w:t>
        </w:r>
      </w:hyperlink>
      <w:r w:rsidR="00983EB4">
        <w:rPr>
          <w:sz w:val="16"/>
        </w:rPr>
        <w:t xml:space="preserve"> </w:t>
      </w:r>
    </w:p>
  </w:footnote>
  <w:footnote w:id="2">
    <w:p w:rsidR="00983EB4" w:rsidRPr="00DA1B66" w:rsidRDefault="00983EB4" w:rsidP="00983EB4">
      <w:pPr>
        <w:pStyle w:val="FootnoteText"/>
        <w:spacing w:after="0"/>
      </w:pPr>
      <w:r>
        <w:rPr>
          <w:rStyle w:val="FootnoteReference"/>
        </w:rPr>
        <w:footnoteRef/>
      </w:r>
      <w:r>
        <w:t xml:space="preserve"> </w:t>
      </w:r>
      <w:r w:rsidRPr="004800E2">
        <w:rPr>
          <w:sz w:val="16"/>
          <w:szCs w:val="16"/>
        </w:rPr>
        <w:t>Ref. ‘Local partnerships for employment for employement’, EU CARDS project in Croatia 2002.</w:t>
      </w:r>
      <w:r>
        <w:t xml:space="preserve"> </w:t>
      </w:r>
    </w:p>
  </w:footnote>
  <w:footnote w:id="3">
    <w:p w:rsidR="00983EB4" w:rsidRPr="00DA1B66" w:rsidRDefault="00983EB4" w:rsidP="00983EB4">
      <w:pPr>
        <w:pStyle w:val="FootnoteText"/>
        <w:spacing w:after="0"/>
        <w:rPr>
          <w:lang w:val="es-ES_tradnl"/>
        </w:rPr>
      </w:pPr>
      <w:r>
        <w:rPr>
          <w:rStyle w:val="FootnoteReference"/>
        </w:rPr>
        <w:footnoteRef/>
      </w:r>
      <w:r w:rsidRPr="004800E2">
        <w:rPr>
          <w:lang w:val="es-ES_tradnl"/>
        </w:rPr>
        <w:t xml:space="preserve"> </w:t>
      </w:r>
      <w:r w:rsidRPr="004800E2">
        <w:rPr>
          <w:sz w:val="16"/>
          <w:szCs w:val="16"/>
          <w:lang w:val="es-ES_tradnl"/>
        </w:rPr>
        <w:t>Ibidem.</w:t>
      </w:r>
    </w:p>
  </w:footnote>
  <w:footnote w:id="4">
    <w:p w:rsidR="00983EB4" w:rsidRPr="00DA1B66" w:rsidRDefault="00983EB4" w:rsidP="00983EB4">
      <w:pPr>
        <w:pStyle w:val="FootnoteText"/>
        <w:spacing w:after="0"/>
        <w:rPr>
          <w:lang w:val="es-ES_tradnl"/>
        </w:rPr>
      </w:pPr>
      <w:r>
        <w:rPr>
          <w:rStyle w:val="FootnoteReference"/>
        </w:rPr>
        <w:footnoteRef/>
      </w:r>
      <w:r w:rsidRPr="004800E2">
        <w:rPr>
          <w:lang w:val="es-ES_tradnl"/>
        </w:rPr>
        <w:t xml:space="preserve"> </w:t>
      </w:r>
      <w:r w:rsidR="0078012C">
        <w:fldChar w:fldCharType="begin"/>
      </w:r>
      <w:r w:rsidR="0078012C" w:rsidRPr="00375636">
        <w:rPr>
          <w:lang w:val="es-ES_tradnl"/>
        </w:rPr>
        <w:instrText xml:space="preserve"> HYPERLINK "http://www.mande.co.uk/do</w:instrText>
      </w:r>
      <w:r w:rsidR="0078012C" w:rsidRPr="00375636">
        <w:rPr>
          <w:lang w:val="es-ES_tradnl"/>
        </w:rPr>
        <w:instrText xml:space="preserve">cs/lessons.htm" </w:instrText>
      </w:r>
      <w:r w:rsidR="0078012C">
        <w:fldChar w:fldCharType="separate"/>
      </w:r>
      <w:r w:rsidRPr="004800E2">
        <w:rPr>
          <w:rStyle w:val="Hyperlink"/>
          <w:sz w:val="16"/>
          <w:szCs w:val="16"/>
          <w:lang w:val="es-ES_tradnl"/>
        </w:rPr>
        <w:t>http://www.mande.co.uk/docs/lessons.htm</w:t>
      </w:r>
      <w:r w:rsidR="0078012C">
        <w:rPr>
          <w:rStyle w:val="Hyperlink"/>
          <w:sz w:val="16"/>
          <w:szCs w:val="16"/>
          <w:lang w:val="es-ES_tradnl"/>
        </w:rPr>
        <w:fldChar w:fldCharType="end"/>
      </w:r>
      <w:r w:rsidRPr="004800E2">
        <w:rPr>
          <w:sz w:val="16"/>
          <w:szCs w:val="16"/>
          <w:lang w:val="es-ES_tradnl"/>
        </w:rPr>
        <w:t xml:space="preserve"> </w:t>
      </w:r>
    </w:p>
  </w:footnote>
  <w:footnote w:id="5">
    <w:p w:rsidR="00983EB4" w:rsidRPr="00DA1B66" w:rsidRDefault="00983EB4" w:rsidP="00FC7C2A">
      <w:pPr>
        <w:pStyle w:val="FootnoteText"/>
        <w:spacing w:after="0"/>
        <w:rPr>
          <w:rFonts w:cs="Arial"/>
          <w:sz w:val="16"/>
          <w:szCs w:val="16"/>
          <w:lang w:val="es-ES_tradnl"/>
        </w:rPr>
      </w:pPr>
      <w:r w:rsidRPr="00254CF5">
        <w:rPr>
          <w:rStyle w:val="FootnoteReference"/>
          <w:rFonts w:ascii="Arial" w:hAnsi="Arial" w:cs="Arial"/>
          <w:szCs w:val="16"/>
        </w:rPr>
        <w:footnoteRef/>
      </w:r>
      <w:r w:rsidRPr="004800E2">
        <w:rPr>
          <w:rFonts w:cs="Arial"/>
          <w:sz w:val="16"/>
          <w:szCs w:val="16"/>
          <w:lang w:val="es-ES_tradnl"/>
        </w:rPr>
        <w:t xml:space="preserve"> </w:t>
      </w:r>
      <w:r w:rsidR="0078012C">
        <w:fldChar w:fldCharType="begin"/>
      </w:r>
      <w:r w:rsidR="0078012C" w:rsidRPr="00375636">
        <w:rPr>
          <w:lang w:val="es-ES_tradnl"/>
        </w:rPr>
        <w:instrText xml:space="preserve"> HYPERLINK "http://www.southeast-europe.net/en/achievements/capitalisation_strategy/" </w:instrText>
      </w:r>
      <w:r w:rsidR="0078012C">
        <w:fldChar w:fldCharType="separate"/>
      </w:r>
      <w:r w:rsidRPr="004800E2">
        <w:rPr>
          <w:rStyle w:val="Hyperlink"/>
          <w:rFonts w:cs="Arial"/>
          <w:sz w:val="16"/>
          <w:szCs w:val="16"/>
          <w:lang w:val="es-ES_tradnl"/>
        </w:rPr>
        <w:t>http://www.southeast-europe.net/en/achievements/capitalisation_strategy/</w:t>
      </w:r>
      <w:r w:rsidR="0078012C">
        <w:rPr>
          <w:rStyle w:val="Hyperlink"/>
          <w:rFonts w:cs="Arial"/>
          <w:sz w:val="16"/>
          <w:szCs w:val="16"/>
          <w:lang w:val="es-ES_tradnl"/>
        </w:rPr>
        <w:fldChar w:fldCharType="end"/>
      </w:r>
      <w:r w:rsidRPr="004800E2">
        <w:rPr>
          <w:rFonts w:cs="Arial"/>
          <w:sz w:val="16"/>
          <w:szCs w:val="16"/>
          <w:lang w:val="es-ES_tradnl"/>
        </w:rPr>
        <w:t xml:space="preserve"> </w:t>
      </w:r>
    </w:p>
  </w:footnote>
  <w:footnote w:id="6">
    <w:p w:rsidR="00983EB4" w:rsidRPr="0029121F" w:rsidRDefault="00983EB4" w:rsidP="005F4F9E">
      <w:pPr>
        <w:pStyle w:val="FootnoteText"/>
        <w:spacing w:after="0"/>
        <w:rPr>
          <w:rFonts w:cs="Arial"/>
          <w:sz w:val="16"/>
          <w:szCs w:val="16"/>
          <w:lang w:val="es-ES_tradnl"/>
        </w:rPr>
      </w:pPr>
      <w:r w:rsidRPr="00254CF5">
        <w:rPr>
          <w:rStyle w:val="FootnoteReference"/>
          <w:rFonts w:ascii="Arial" w:hAnsi="Arial" w:cs="Arial"/>
          <w:szCs w:val="16"/>
        </w:rPr>
        <w:footnoteRef/>
      </w:r>
      <w:r w:rsidRPr="0029121F">
        <w:rPr>
          <w:rFonts w:cs="Arial"/>
          <w:sz w:val="16"/>
          <w:szCs w:val="16"/>
          <w:lang w:val="es-ES_tradnl"/>
        </w:rPr>
        <w:t xml:space="preserve"> </w:t>
      </w:r>
      <w:r w:rsidR="0078012C">
        <w:fldChar w:fldCharType="begin"/>
      </w:r>
      <w:r w:rsidR="0078012C" w:rsidRPr="00375636">
        <w:rPr>
          <w:lang w:val="es-ES_tradnl"/>
        </w:rPr>
        <w:instrText xml:space="preserve"> HYPERLINK "http://www.programmemed.eu/en/the-programme/programme-capitalisation.html" </w:instrText>
      </w:r>
      <w:r w:rsidR="0078012C">
        <w:fldChar w:fldCharType="separate"/>
      </w:r>
      <w:r w:rsidRPr="0029121F">
        <w:rPr>
          <w:rStyle w:val="Hyperlink"/>
          <w:rFonts w:cs="Arial"/>
          <w:sz w:val="16"/>
          <w:szCs w:val="16"/>
          <w:lang w:val="es-ES_tradnl"/>
        </w:rPr>
        <w:t>http://www.programmemed.eu/en/the-programme/programme-capitalisation.html</w:t>
      </w:r>
      <w:r w:rsidR="0078012C">
        <w:rPr>
          <w:rStyle w:val="Hyperlink"/>
          <w:rFonts w:cs="Arial"/>
          <w:sz w:val="16"/>
          <w:szCs w:val="16"/>
          <w:lang w:val="es-ES_tradnl"/>
        </w:rPr>
        <w:fldChar w:fldCharType="end"/>
      </w:r>
      <w:r w:rsidRPr="0029121F">
        <w:rPr>
          <w:rFonts w:cs="Arial"/>
          <w:sz w:val="16"/>
          <w:szCs w:val="16"/>
          <w:lang w:val="es-ES_tradnl"/>
        </w:rPr>
        <w:t xml:space="preserve"> </w:t>
      </w:r>
    </w:p>
  </w:footnote>
  <w:footnote w:id="7">
    <w:p w:rsidR="00983EB4" w:rsidRPr="002B6CD2" w:rsidRDefault="00983EB4" w:rsidP="002B6CD2">
      <w:pPr>
        <w:pStyle w:val="FootnoteText"/>
        <w:spacing w:after="0"/>
        <w:rPr>
          <w:rFonts w:cs="Arial"/>
          <w:sz w:val="16"/>
          <w:szCs w:val="16"/>
        </w:rPr>
      </w:pPr>
      <w:r w:rsidRPr="002B6CD2">
        <w:rPr>
          <w:rStyle w:val="FootnoteReference"/>
          <w:rFonts w:ascii="Arial" w:hAnsi="Arial" w:cs="Arial"/>
          <w:szCs w:val="16"/>
        </w:rPr>
        <w:footnoteRef/>
      </w:r>
      <w:r w:rsidRPr="002B6CD2">
        <w:rPr>
          <w:rFonts w:cs="Arial"/>
          <w:sz w:val="16"/>
          <w:szCs w:val="16"/>
        </w:rPr>
        <w:t xml:space="preserve"> e.g. </w:t>
      </w:r>
      <w:hyperlink r:id="rId3" w:history="1">
        <w:r w:rsidRPr="00926288">
          <w:rPr>
            <w:rStyle w:val="Hyperlink"/>
            <w:rFonts w:cs="Arial"/>
            <w:sz w:val="16"/>
            <w:szCs w:val="16"/>
          </w:rPr>
          <w:t>http://www.cbc-cro-bih.net/images/stories/Dokumenti/Brosura2015.pdf</w:t>
        </w:r>
      </w:hyperlink>
      <w:r>
        <w:rPr>
          <w:rFonts w:cs="Arial"/>
          <w:sz w:val="16"/>
          <w:szCs w:val="16"/>
        </w:rPr>
        <w:t xml:space="preserve"> </w:t>
      </w:r>
    </w:p>
  </w:footnote>
  <w:footnote w:id="8">
    <w:p w:rsidR="00983EB4" w:rsidRPr="00AF497F" w:rsidRDefault="00983EB4" w:rsidP="00AF497F">
      <w:pPr>
        <w:spacing w:after="0"/>
        <w:rPr>
          <w:rFonts w:ascii="Arial" w:hAnsi="Arial" w:cs="Arial"/>
          <w:sz w:val="16"/>
          <w:szCs w:val="16"/>
        </w:rPr>
      </w:pPr>
      <w:r w:rsidRPr="002B6CD2">
        <w:rPr>
          <w:rStyle w:val="FootnoteReference"/>
          <w:rFonts w:ascii="Arial" w:hAnsi="Arial" w:cs="Arial"/>
          <w:szCs w:val="16"/>
        </w:rPr>
        <w:footnoteRef/>
      </w:r>
      <w:r w:rsidRPr="00AF497F">
        <w:rPr>
          <w:rFonts w:ascii="Arial" w:hAnsi="Arial" w:cs="Arial"/>
          <w:sz w:val="16"/>
          <w:szCs w:val="16"/>
        </w:rPr>
        <w:t xml:space="preserve"> e.g. </w:t>
      </w:r>
      <w:hyperlink r:id="rId4" w:history="1">
        <w:r w:rsidRPr="00AF497F">
          <w:rPr>
            <w:rStyle w:val="Hyperlink"/>
            <w:rFonts w:ascii="Arial" w:hAnsi="Arial" w:cs="Arial"/>
            <w:sz w:val="16"/>
            <w:szCs w:val="16"/>
          </w:rPr>
          <w:t>http://ec.europa.eu/regional_policy/opendays/od2015/doc/OD2015_web.pdf</w:t>
        </w:r>
      </w:hyperlink>
      <w:r w:rsidRPr="00AF497F">
        <w:rPr>
          <w:rStyle w:val="Hyperlink"/>
          <w:rFonts w:ascii="Arial" w:hAnsi="Arial" w:cs="Arial"/>
          <w:sz w:val="16"/>
          <w:szCs w:val="16"/>
        </w:rPr>
        <w:t xml:space="preserve"> </w:t>
      </w:r>
    </w:p>
  </w:footnote>
  <w:footnote w:id="9">
    <w:p w:rsidR="00983EB4" w:rsidRPr="00B432B7" w:rsidRDefault="00983EB4" w:rsidP="00AF497F">
      <w:pPr>
        <w:autoSpaceDE w:val="0"/>
        <w:autoSpaceDN w:val="0"/>
        <w:adjustRightInd w:val="0"/>
        <w:spacing w:after="0" w:line="240" w:lineRule="auto"/>
        <w:rPr>
          <w:rFonts w:ascii="Arial" w:hAnsi="Arial" w:cs="Arial"/>
          <w:bCs/>
          <w:sz w:val="16"/>
          <w:szCs w:val="16"/>
          <w:lang w:val="en-US"/>
        </w:rPr>
      </w:pPr>
      <w:r w:rsidRPr="00AF497F">
        <w:rPr>
          <w:rStyle w:val="FootnoteReference"/>
          <w:rFonts w:ascii="Arial" w:hAnsi="Arial" w:cs="Arial"/>
          <w:szCs w:val="16"/>
        </w:rPr>
        <w:footnoteRef/>
      </w:r>
      <w:r w:rsidRPr="00AF497F">
        <w:rPr>
          <w:rFonts w:ascii="Arial" w:hAnsi="Arial" w:cs="Arial"/>
          <w:sz w:val="16"/>
          <w:szCs w:val="16"/>
        </w:rPr>
        <w:t xml:space="preserve"> There was also an earlier evaluation covering </w:t>
      </w:r>
      <w:r>
        <w:rPr>
          <w:rFonts w:ascii="Arial" w:hAnsi="Arial" w:cs="Arial"/>
          <w:sz w:val="16"/>
          <w:szCs w:val="16"/>
        </w:rPr>
        <w:t>WB</w:t>
      </w:r>
      <w:r w:rsidRPr="00AF497F">
        <w:rPr>
          <w:rFonts w:ascii="Arial" w:hAnsi="Arial" w:cs="Arial"/>
          <w:sz w:val="16"/>
          <w:szCs w:val="16"/>
        </w:rPr>
        <w:t xml:space="preserve"> “</w:t>
      </w:r>
      <w:r w:rsidRPr="00AF497F">
        <w:rPr>
          <w:rFonts w:ascii="Arial" w:hAnsi="Arial" w:cs="Arial"/>
          <w:bCs/>
          <w:sz w:val="16"/>
          <w:szCs w:val="16"/>
          <w:lang w:val="en-US"/>
        </w:rPr>
        <w:t>Phare Cross-Border</w:t>
      </w:r>
      <w:r>
        <w:rPr>
          <w:rFonts w:ascii="Arial" w:hAnsi="Arial" w:cs="Arial"/>
          <w:bCs/>
          <w:sz w:val="16"/>
          <w:szCs w:val="16"/>
          <w:lang w:val="en-US"/>
        </w:rPr>
        <w:t xml:space="preserve"> </w:t>
      </w:r>
      <w:r w:rsidRPr="00AF497F">
        <w:rPr>
          <w:rFonts w:ascii="Arial" w:hAnsi="Arial" w:cs="Arial"/>
          <w:bCs/>
          <w:sz w:val="16"/>
          <w:szCs w:val="16"/>
          <w:lang w:val="en-US"/>
        </w:rPr>
        <w:t>Cooperation Programmes 1999-2003”</w:t>
      </w:r>
      <w:r w:rsidRPr="00AF497F">
        <w:rPr>
          <w:rFonts w:ascii="Arial" w:hAnsi="Arial" w:cs="Arial"/>
          <w:sz w:val="16"/>
          <w:szCs w:val="16"/>
        </w:rPr>
        <w:t xml:space="preserve"> by MHW, delivered in 2007.</w:t>
      </w:r>
    </w:p>
  </w:footnote>
  <w:footnote w:id="10">
    <w:p w:rsidR="00983EB4" w:rsidRPr="00AF497F" w:rsidRDefault="00983EB4" w:rsidP="00AF497F">
      <w:pPr>
        <w:pStyle w:val="FootnoteText"/>
        <w:spacing w:after="0"/>
        <w:jc w:val="left"/>
        <w:rPr>
          <w:rFonts w:cs="Arial"/>
          <w:sz w:val="16"/>
          <w:szCs w:val="16"/>
        </w:rPr>
      </w:pPr>
      <w:r w:rsidRPr="00AF497F">
        <w:rPr>
          <w:rStyle w:val="FootnoteReference"/>
          <w:rFonts w:ascii="Arial" w:hAnsi="Arial" w:cs="Arial"/>
          <w:szCs w:val="16"/>
        </w:rPr>
        <w:footnoteRef/>
      </w:r>
      <w:r w:rsidRPr="00AF497F">
        <w:rPr>
          <w:rFonts w:cs="Arial"/>
          <w:sz w:val="16"/>
          <w:szCs w:val="16"/>
        </w:rPr>
        <w:t xml:space="preserve"> </w:t>
      </w:r>
      <w:hyperlink r:id="rId5" w:history="1">
        <w:r w:rsidRPr="00926288">
          <w:rPr>
            <w:rStyle w:val="Hyperlink"/>
            <w:rFonts w:cs="Arial"/>
            <w:sz w:val="16"/>
            <w:szCs w:val="16"/>
          </w:rPr>
          <w:t>http://www.southeast-europe.net/en/news_and_events/news/didseeprogrammefulfilitsmission</w:t>
        </w:r>
      </w:hyperlink>
      <w:r>
        <w:rPr>
          <w:rFonts w:cs="Arial"/>
          <w:sz w:val="16"/>
          <w:szCs w:val="16"/>
        </w:rPr>
        <w:t xml:space="preserve"> </w:t>
      </w:r>
    </w:p>
  </w:footnote>
  <w:footnote w:id="11">
    <w:p w:rsidR="00983EB4" w:rsidRPr="00AF497F" w:rsidRDefault="00983EB4" w:rsidP="004C371D">
      <w:pPr>
        <w:spacing w:after="0"/>
        <w:rPr>
          <w:rFonts w:ascii="Arial" w:hAnsi="Arial" w:cs="Arial"/>
          <w:sz w:val="16"/>
          <w:szCs w:val="16"/>
        </w:rPr>
      </w:pPr>
      <w:r w:rsidRPr="004C371D">
        <w:rPr>
          <w:rStyle w:val="FootnoteReference"/>
          <w:rFonts w:ascii="Arial" w:hAnsi="Arial" w:cs="Arial"/>
          <w:szCs w:val="16"/>
        </w:rPr>
        <w:footnoteRef/>
      </w:r>
      <w:r w:rsidRPr="00AF497F">
        <w:rPr>
          <w:rFonts w:ascii="Arial" w:hAnsi="Arial" w:cs="Arial"/>
          <w:sz w:val="16"/>
          <w:szCs w:val="16"/>
        </w:rPr>
        <w:t xml:space="preserve"> </w:t>
      </w:r>
      <w:r w:rsidRPr="004C371D">
        <w:rPr>
          <w:rFonts w:ascii="Arial" w:hAnsi="Arial" w:cs="Arial"/>
          <w:sz w:val="16"/>
          <w:szCs w:val="16"/>
        </w:rPr>
        <w:t>Report on questionnaire on ex post monitoring of the projects implemented under 2007-2013 IPA I Cross-Border Programme Serbia – Montenegro, November 2015</w:t>
      </w:r>
    </w:p>
  </w:footnote>
  <w:footnote w:id="12">
    <w:p w:rsidR="00983EB4" w:rsidRPr="004C371D" w:rsidRDefault="00983EB4" w:rsidP="00B432B7">
      <w:pPr>
        <w:pStyle w:val="FootnoteText"/>
        <w:spacing w:after="0"/>
        <w:ind w:left="0" w:firstLine="0"/>
        <w:jc w:val="left"/>
        <w:rPr>
          <w:rFonts w:cs="Arial"/>
          <w:sz w:val="16"/>
          <w:szCs w:val="16"/>
        </w:rPr>
      </w:pPr>
      <w:r w:rsidRPr="004C371D">
        <w:rPr>
          <w:rStyle w:val="FootnoteReference"/>
          <w:rFonts w:ascii="Arial" w:hAnsi="Arial" w:cs="Arial"/>
          <w:szCs w:val="16"/>
        </w:rPr>
        <w:footnoteRef/>
      </w:r>
      <w:r w:rsidRPr="00AF497F">
        <w:rPr>
          <w:rFonts w:cs="Arial"/>
          <w:sz w:val="16"/>
          <w:szCs w:val="16"/>
        </w:rPr>
        <w:t xml:space="preserve"> </w:t>
      </w:r>
      <w:r w:rsidRPr="004C371D">
        <w:rPr>
          <w:rFonts w:cs="Arial"/>
          <w:sz w:val="16"/>
          <w:szCs w:val="16"/>
        </w:rPr>
        <w:t>Report on two events related to the implementation of the three cycles of IPA I Cross-Border Programme the former Yugoslav Republic of Macedonia – Albania, May 2015</w:t>
      </w:r>
    </w:p>
  </w:footnote>
  <w:footnote w:id="13">
    <w:p w:rsidR="00983EB4" w:rsidRDefault="00983EB4">
      <w:pPr>
        <w:pStyle w:val="FootnoteText"/>
      </w:pPr>
      <w:r>
        <w:rPr>
          <w:rStyle w:val="FootnoteReference"/>
        </w:rPr>
        <w:footnoteRef/>
      </w:r>
      <w:r>
        <w:t xml:space="preserve"> </w:t>
      </w:r>
      <w:r w:rsidRPr="0079155B">
        <w:rPr>
          <w:sz w:val="16"/>
          <w:szCs w:val="16"/>
        </w:rPr>
        <w:t>11-12 September 2014, Sarajevo</w:t>
      </w:r>
    </w:p>
  </w:footnote>
  <w:footnote w:id="14">
    <w:p w:rsidR="00983EB4" w:rsidRPr="00133A62" w:rsidRDefault="00983EB4" w:rsidP="00133A62">
      <w:pPr>
        <w:pStyle w:val="FootnoteText"/>
        <w:spacing w:after="0"/>
        <w:rPr>
          <w:rFonts w:cs="Arial"/>
          <w:sz w:val="16"/>
          <w:szCs w:val="16"/>
        </w:rPr>
      </w:pPr>
      <w:r w:rsidRPr="00133A62">
        <w:rPr>
          <w:rStyle w:val="FootnoteReference"/>
          <w:rFonts w:ascii="Arial" w:hAnsi="Arial" w:cs="Arial"/>
          <w:szCs w:val="16"/>
        </w:rPr>
        <w:footnoteRef/>
      </w:r>
      <w:r w:rsidRPr="00133A62">
        <w:rPr>
          <w:rFonts w:cs="Arial"/>
          <w:sz w:val="16"/>
          <w:szCs w:val="16"/>
        </w:rPr>
        <w:t xml:space="preserve"> For example, in the form of a group in a social network</w:t>
      </w:r>
    </w:p>
  </w:footnote>
  <w:footnote w:id="15">
    <w:p w:rsidR="00983EB4" w:rsidRPr="00133A62" w:rsidRDefault="00983EB4" w:rsidP="0079155B">
      <w:pPr>
        <w:pStyle w:val="FootnoteText"/>
        <w:spacing w:after="0"/>
        <w:ind w:left="0" w:firstLine="0"/>
        <w:rPr>
          <w:rFonts w:cs="Arial"/>
          <w:sz w:val="16"/>
          <w:szCs w:val="16"/>
        </w:rPr>
      </w:pPr>
      <w:r w:rsidRPr="00133A62">
        <w:rPr>
          <w:rStyle w:val="FootnoteReference"/>
          <w:rFonts w:ascii="Arial" w:hAnsi="Arial" w:cs="Arial"/>
          <w:szCs w:val="16"/>
        </w:rPr>
        <w:footnoteRef/>
      </w:r>
      <w:r>
        <w:rPr>
          <w:rFonts w:cs="Arial"/>
          <w:sz w:val="16"/>
          <w:szCs w:val="16"/>
        </w:rPr>
        <w:t xml:space="preserve"> I</w:t>
      </w:r>
      <w:r w:rsidRPr="00133A62">
        <w:rPr>
          <w:rFonts w:cs="Arial"/>
          <w:sz w:val="16"/>
          <w:szCs w:val="16"/>
        </w:rPr>
        <w:t>ncluding ‘CBC champions’ (i.e. advocates of CBC, promoters/managers of successful CBC projects, advocates of CBC, research institutes engaged in CBC-related work).</w:t>
      </w:r>
    </w:p>
  </w:footnote>
  <w:footnote w:id="16">
    <w:p w:rsidR="00983EB4" w:rsidRPr="00984B2B" w:rsidRDefault="00983EB4" w:rsidP="00816952">
      <w:pPr>
        <w:pStyle w:val="FootnoteText"/>
        <w:rPr>
          <w:rFonts w:cs="Arial"/>
          <w:sz w:val="16"/>
          <w:szCs w:val="16"/>
        </w:rPr>
      </w:pPr>
      <w:r w:rsidRPr="00984B2B">
        <w:rPr>
          <w:rStyle w:val="FootnoteReference"/>
          <w:rFonts w:ascii="Arial" w:hAnsi="Arial" w:cs="Arial"/>
          <w:szCs w:val="16"/>
        </w:rPr>
        <w:footnoteRef/>
      </w:r>
      <w:r w:rsidRPr="00984B2B">
        <w:rPr>
          <w:rFonts w:cs="Arial"/>
          <w:sz w:val="16"/>
          <w:szCs w:val="16"/>
        </w:rPr>
        <w:t xml:space="preserve"> September 2014 and April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B4" w:rsidRDefault="00983EB4" w:rsidP="004B692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B4" w:rsidRPr="00011933" w:rsidRDefault="00983EB4" w:rsidP="00011933">
    <w:pPr>
      <w:pStyle w:val="Header"/>
      <w:ind w:firstLine="567"/>
      <w:rPr>
        <w:rFonts w:ascii="Segoe UI" w:hAnsi="Segoe UI" w:cs="Segoe UI"/>
        <w:b/>
        <w:sz w:val="12"/>
        <w:szCs w:val="12"/>
        <w:lang w:val="en-US"/>
      </w:rPr>
    </w:pPr>
    <w:r w:rsidRPr="00011933">
      <w:rPr>
        <w:noProof/>
        <w:sz w:val="12"/>
        <w:szCs w:val="12"/>
        <w:lang w:val="en-US"/>
      </w:rPr>
      <w:drawing>
        <wp:anchor distT="0" distB="0" distL="114300" distR="114300" simplePos="0" relativeHeight="251667456" behindDoc="1" locked="0" layoutInCell="1" allowOverlap="1">
          <wp:simplePos x="0" y="0"/>
          <wp:positionH relativeFrom="column">
            <wp:posOffset>4775200</wp:posOffset>
          </wp:positionH>
          <wp:positionV relativeFrom="paragraph">
            <wp:posOffset>51435</wp:posOffset>
          </wp:positionV>
          <wp:extent cx="859155" cy="584835"/>
          <wp:effectExtent l="0" t="0" r="0" b="0"/>
          <wp:wrapThrough wrapText="bothSides">
            <wp:wrapPolygon edited="0">
              <wp:start x="0" y="0"/>
              <wp:lineTo x="0" y="21107"/>
              <wp:lineTo x="21073" y="21107"/>
              <wp:lineTo x="21073" y="0"/>
              <wp:lineTo x="0" y="0"/>
            </wp:wrapPolygon>
          </wp:wrapThrough>
          <wp:docPr id="1" name="Bild 6"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584835"/>
                  </a:xfrm>
                  <a:prstGeom prst="rect">
                    <a:avLst/>
                  </a:prstGeom>
                  <a:noFill/>
                </pic:spPr>
              </pic:pic>
            </a:graphicData>
          </a:graphic>
        </wp:anchor>
      </w:drawing>
    </w:r>
    <w:r>
      <w:rPr>
        <w:noProof/>
        <w:sz w:val="12"/>
        <w:szCs w:val="12"/>
        <w:lang w:val="en-US"/>
      </w:rPr>
      <w:drawing>
        <wp:inline distT="0" distB="0" distL="0" distR="0">
          <wp:extent cx="633600" cy="63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29 Final cbib logo in colour.jpg"/>
                  <pic:cNvPicPr/>
                </pic:nvPicPr>
                <pic:blipFill>
                  <a:blip r:embed="rId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inline>
      </w:drawing>
    </w:r>
    <w:r>
      <w:rPr>
        <w:rFonts w:ascii="Segoe UI" w:hAnsi="Segoe UI" w:cs="Segoe UI"/>
        <w:b/>
        <w:sz w:val="12"/>
        <w:szCs w:val="12"/>
        <w:lang w:val="en-US"/>
      </w:rPr>
      <w:tab/>
    </w:r>
  </w:p>
  <w:p w:rsidR="00983EB4" w:rsidRPr="00011933" w:rsidRDefault="00983EB4" w:rsidP="002A5C7B">
    <w:pPr>
      <w:pStyle w:val="Header"/>
      <w:tabs>
        <w:tab w:val="left" w:pos="7655"/>
        <w:tab w:val="left" w:pos="7797"/>
      </w:tabs>
      <w:rPr>
        <w:rFonts w:ascii="Segoe UI" w:hAnsi="Segoe UI" w:cs="Segoe UI"/>
        <w:b/>
        <w:color w:val="0000CC"/>
        <w:sz w:val="12"/>
        <w:szCs w:val="12"/>
        <w:lang w:val="en-US"/>
      </w:rPr>
    </w:pPr>
    <w:r w:rsidRPr="00011933">
      <w:rPr>
        <w:rFonts w:ascii="Segoe UI" w:hAnsi="Segoe UI" w:cs="Segoe UI"/>
        <w:b/>
        <w:color w:val="0000CC"/>
        <w:sz w:val="12"/>
        <w:szCs w:val="12"/>
        <w:lang w:val="en-US"/>
      </w:rPr>
      <w:t>Cross Border Institution Building – CBIB+</w:t>
    </w:r>
    <w:r>
      <w:rPr>
        <w:rFonts w:ascii="Segoe UI" w:hAnsi="Segoe UI" w:cs="Segoe UI"/>
        <w:b/>
        <w:color w:val="0000CC"/>
        <w:sz w:val="12"/>
        <w:szCs w:val="12"/>
        <w:lang w:val="en-US"/>
      </w:rPr>
      <w:t>2</w:t>
    </w:r>
    <w:r w:rsidRPr="00011933">
      <w:rPr>
        <w:rFonts w:ascii="Segoe UI" w:hAnsi="Segoe UI" w:cs="Segoe UI"/>
        <w:b/>
        <w:color w:val="0000CC"/>
        <w:sz w:val="12"/>
        <w:szCs w:val="12"/>
        <w:lang w:val="en-US"/>
      </w:rPr>
      <w:tab/>
    </w:r>
    <w:r w:rsidRPr="00011933">
      <w:rPr>
        <w:rFonts w:ascii="Segoe UI" w:hAnsi="Segoe UI" w:cs="Segoe UI"/>
        <w:b/>
        <w:color w:val="0000CC"/>
        <w:sz w:val="12"/>
        <w:szCs w:val="12"/>
        <w:lang w:val="en-US"/>
      </w:rPr>
      <w:tab/>
    </w:r>
    <w:r>
      <w:rPr>
        <w:rFonts w:ascii="Segoe UI" w:hAnsi="Segoe UI" w:cs="Segoe UI"/>
        <w:b/>
        <w:color w:val="0000CC"/>
        <w:sz w:val="12"/>
        <w:szCs w:val="12"/>
        <w:lang w:val="en-US"/>
      </w:rPr>
      <w:t xml:space="preserve"> </w:t>
    </w:r>
    <w:r w:rsidRPr="00011933">
      <w:rPr>
        <w:rFonts w:ascii="Segoe UI" w:hAnsi="Segoe UI" w:cs="Segoe UI"/>
        <w:b/>
        <w:color w:val="0000CC"/>
        <w:sz w:val="12"/>
        <w:szCs w:val="12"/>
        <w:lang w:val="en-US"/>
      </w:rPr>
      <w:t>This is a project</w:t>
    </w:r>
  </w:p>
  <w:p w:rsidR="00983EB4" w:rsidRPr="00011933" w:rsidRDefault="00983EB4">
    <w:pPr>
      <w:pStyle w:val="Header"/>
      <w:rPr>
        <w:rFonts w:ascii="Segoe UI" w:hAnsi="Segoe UI" w:cs="Segoe UI"/>
        <w:b/>
        <w:color w:val="0000CC"/>
        <w:sz w:val="12"/>
        <w:szCs w:val="12"/>
        <w:lang w:val="en-US"/>
      </w:rPr>
    </w:pPr>
    <w:r w:rsidRPr="00011933">
      <w:rPr>
        <w:rFonts w:ascii="Segoe UI" w:hAnsi="Segoe UI" w:cs="Segoe UI"/>
        <w:b/>
        <w:color w:val="0000CC"/>
        <w:sz w:val="12"/>
        <w:szCs w:val="12"/>
        <w:lang w:val="en-US"/>
      </w:rPr>
      <w:t>The IPA Multi-beneficiary Programme</w:t>
    </w:r>
    <w:r w:rsidRPr="00011933">
      <w:rPr>
        <w:rFonts w:ascii="Segoe UI" w:hAnsi="Segoe UI" w:cs="Segoe UI"/>
        <w:b/>
        <w:color w:val="0000CC"/>
        <w:sz w:val="12"/>
        <w:szCs w:val="12"/>
        <w:lang w:val="en-US"/>
      </w:rPr>
      <w:tab/>
    </w:r>
    <w:r w:rsidRPr="00011933">
      <w:rPr>
        <w:rFonts w:ascii="Segoe UI" w:hAnsi="Segoe UI" w:cs="Segoe UI"/>
        <w:b/>
        <w:color w:val="0000CC"/>
        <w:sz w:val="12"/>
        <w:szCs w:val="12"/>
        <w:lang w:val="en-US"/>
      </w:rPr>
      <w:tab/>
    </w:r>
    <w:r>
      <w:rPr>
        <w:rFonts w:ascii="Segoe UI" w:hAnsi="Segoe UI" w:cs="Segoe UI"/>
        <w:b/>
        <w:color w:val="0000CC"/>
        <w:sz w:val="12"/>
        <w:szCs w:val="12"/>
        <w:lang w:val="en-US"/>
      </w:rPr>
      <w:t>f</w:t>
    </w:r>
    <w:r w:rsidRPr="00011933">
      <w:rPr>
        <w:rFonts w:ascii="Segoe UI" w:hAnsi="Segoe UI" w:cs="Segoe UI"/>
        <w:b/>
        <w:color w:val="0000CC"/>
        <w:sz w:val="12"/>
        <w:szCs w:val="12"/>
        <w:lang w:val="en-US"/>
      </w:rPr>
      <w:t>unded by the European Union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3EB"/>
    <w:multiLevelType w:val="hybridMultilevel"/>
    <w:tmpl w:val="DFBA7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00D7F"/>
    <w:multiLevelType w:val="hybridMultilevel"/>
    <w:tmpl w:val="FDE6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B7712D"/>
    <w:multiLevelType w:val="hybridMultilevel"/>
    <w:tmpl w:val="4F58473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A72794"/>
    <w:multiLevelType w:val="hybridMultilevel"/>
    <w:tmpl w:val="167C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E87BDF"/>
    <w:multiLevelType w:val="hybridMultilevel"/>
    <w:tmpl w:val="51163E0A"/>
    <w:lvl w:ilvl="0" w:tplc="9BD2305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351908"/>
    <w:multiLevelType w:val="hybridMultilevel"/>
    <w:tmpl w:val="07AE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F40B4E"/>
    <w:multiLevelType w:val="hybridMultilevel"/>
    <w:tmpl w:val="F6523830"/>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nsid w:val="22D20206"/>
    <w:multiLevelType w:val="hybridMultilevel"/>
    <w:tmpl w:val="5414F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D5D60"/>
    <w:multiLevelType w:val="hybridMultilevel"/>
    <w:tmpl w:val="C626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CB5FD0"/>
    <w:multiLevelType w:val="hybridMultilevel"/>
    <w:tmpl w:val="119E1612"/>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nsid w:val="327E3FDA"/>
    <w:multiLevelType w:val="hybridMultilevel"/>
    <w:tmpl w:val="9C10A6F6"/>
    <w:lvl w:ilvl="0" w:tplc="08090017">
      <w:start w:val="1"/>
      <w:numFmt w:val="lowerLetter"/>
      <w:lvlText w:val="%1)"/>
      <w:lvlJc w:val="left"/>
      <w:pPr>
        <w:tabs>
          <w:tab w:val="num" w:pos="720"/>
        </w:tabs>
        <w:ind w:left="720" w:hanging="360"/>
      </w:pPr>
    </w:lvl>
    <w:lvl w:ilvl="1" w:tplc="B1C419BA">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633099F"/>
    <w:multiLevelType w:val="hybridMultilevel"/>
    <w:tmpl w:val="3710D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1024D4"/>
    <w:multiLevelType w:val="hybridMultilevel"/>
    <w:tmpl w:val="CA968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650D61"/>
    <w:multiLevelType w:val="multilevel"/>
    <w:tmpl w:val="A992B2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CE47D93"/>
    <w:multiLevelType w:val="hybridMultilevel"/>
    <w:tmpl w:val="11589E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516B17"/>
    <w:multiLevelType w:val="hybridMultilevel"/>
    <w:tmpl w:val="60E6EBA8"/>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A016D6"/>
    <w:multiLevelType w:val="hybridMultilevel"/>
    <w:tmpl w:val="1504A8F6"/>
    <w:lvl w:ilvl="0" w:tplc="567C2D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7C26D6"/>
    <w:multiLevelType w:val="hybridMultilevel"/>
    <w:tmpl w:val="2B54B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7C3FA1"/>
    <w:multiLevelType w:val="hybridMultilevel"/>
    <w:tmpl w:val="AB345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2E1046"/>
    <w:multiLevelType w:val="hybridMultilevel"/>
    <w:tmpl w:val="77848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D50138A"/>
    <w:multiLevelType w:val="hybridMultilevel"/>
    <w:tmpl w:val="B71A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4B57CF"/>
    <w:multiLevelType w:val="hybridMultilevel"/>
    <w:tmpl w:val="49E2C856"/>
    <w:lvl w:ilvl="0" w:tplc="0590E150">
      <w:start w:val="1"/>
      <w:numFmt w:val="decimal"/>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3527FAA"/>
    <w:multiLevelType w:val="hybridMultilevel"/>
    <w:tmpl w:val="DD94FC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D640A1"/>
    <w:multiLevelType w:val="hybridMultilevel"/>
    <w:tmpl w:val="4EF8E0C2"/>
    <w:lvl w:ilvl="0" w:tplc="056ECA2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5F52D18"/>
    <w:multiLevelType w:val="hybridMultilevel"/>
    <w:tmpl w:val="6CEE7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74A5723"/>
    <w:multiLevelType w:val="hybridMultilevel"/>
    <w:tmpl w:val="3F42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9A042E"/>
    <w:multiLevelType w:val="hybridMultilevel"/>
    <w:tmpl w:val="1352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A63B0F"/>
    <w:multiLevelType w:val="multilevel"/>
    <w:tmpl w:val="E4C86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C25DB4"/>
    <w:multiLevelType w:val="hybridMultilevel"/>
    <w:tmpl w:val="92FEAEB2"/>
    <w:lvl w:ilvl="0" w:tplc="930A56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75F92B04"/>
    <w:multiLevelType w:val="hybridMultilevel"/>
    <w:tmpl w:val="08E0D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BE3250"/>
    <w:multiLevelType w:val="hybridMultilevel"/>
    <w:tmpl w:val="923EE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486285"/>
    <w:multiLevelType w:val="hybridMultilevel"/>
    <w:tmpl w:val="99BEA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28"/>
  </w:num>
  <w:num w:numId="4">
    <w:abstractNumId w:val="2"/>
  </w:num>
  <w:num w:numId="5">
    <w:abstractNumId w:val="30"/>
  </w:num>
  <w:num w:numId="6">
    <w:abstractNumId w:val="16"/>
  </w:num>
  <w:num w:numId="7">
    <w:abstractNumId w:val="23"/>
  </w:num>
  <w:num w:numId="8">
    <w:abstractNumId w:val="29"/>
  </w:num>
  <w:num w:numId="9">
    <w:abstractNumId w:val="10"/>
  </w:num>
  <w:num w:numId="10">
    <w:abstractNumId w:val="15"/>
  </w:num>
  <w:num w:numId="11">
    <w:abstractNumId w:val="21"/>
  </w:num>
  <w:num w:numId="12">
    <w:abstractNumId w:val="26"/>
  </w:num>
  <w:num w:numId="13">
    <w:abstractNumId w:val="11"/>
  </w:num>
  <w:num w:numId="14">
    <w:abstractNumId w:val="22"/>
  </w:num>
  <w:num w:numId="15">
    <w:abstractNumId w:val="14"/>
  </w:num>
  <w:num w:numId="16">
    <w:abstractNumId w:val="7"/>
  </w:num>
  <w:num w:numId="17">
    <w:abstractNumId w:val="25"/>
  </w:num>
  <w:num w:numId="18">
    <w:abstractNumId w:val="9"/>
  </w:num>
  <w:num w:numId="19">
    <w:abstractNumId w:val="31"/>
  </w:num>
  <w:num w:numId="20">
    <w:abstractNumId w:val="17"/>
  </w:num>
  <w:num w:numId="21">
    <w:abstractNumId w:val="6"/>
  </w:num>
  <w:num w:numId="22">
    <w:abstractNumId w:val="0"/>
  </w:num>
  <w:num w:numId="23">
    <w:abstractNumId w:val="12"/>
  </w:num>
  <w:num w:numId="24">
    <w:abstractNumId w:val="3"/>
  </w:num>
  <w:num w:numId="25">
    <w:abstractNumId w:val="18"/>
  </w:num>
  <w:num w:numId="26">
    <w:abstractNumId w:val="5"/>
  </w:num>
  <w:num w:numId="27">
    <w:abstractNumId w:val="24"/>
  </w:num>
  <w:num w:numId="28">
    <w:abstractNumId w:val="20"/>
  </w:num>
  <w:num w:numId="29">
    <w:abstractNumId w:val="8"/>
  </w:num>
  <w:num w:numId="30">
    <w:abstractNumId w:val="1"/>
  </w:num>
  <w:num w:numId="31">
    <w:abstractNumId w:val="2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50"/>
    <o:shapelayout v:ext="edit">
      <o:idmap v:ext="edit" data="2"/>
      <o:rules v:ext="edit">
        <o:r id="V:Rule1" type="connector" idref="#Straight Arrow Connector 6"/>
      </o:rules>
    </o:shapelayout>
  </w:hdrShapeDefaults>
  <w:footnotePr>
    <w:footnote w:id="-1"/>
    <w:footnote w:id="0"/>
  </w:footnotePr>
  <w:endnotePr>
    <w:endnote w:id="-1"/>
    <w:endnote w:id="0"/>
  </w:endnotePr>
  <w:compat>
    <w:useFELayout/>
    <w:compatSetting w:name="compatibilityMode" w:uri="http://schemas.microsoft.com/office/word" w:val="12"/>
  </w:compat>
  <w:rsids>
    <w:rsidRoot w:val="004B692E"/>
    <w:rsid w:val="00006265"/>
    <w:rsid w:val="00011933"/>
    <w:rsid w:val="000143A3"/>
    <w:rsid w:val="00030328"/>
    <w:rsid w:val="00034ADA"/>
    <w:rsid w:val="00070842"/>
    <w:rsid w:val="00070F61"/>
    <w:rsid w:val="00071945"/>
    <w:rsid w:val="00085545"/>
    <w:rsid w:val="00086343"/>
    <w:rsid w:val="00093C80"/>
    <w:rsid w:val="000B32E1"/>
    <w:rsid w:val="000C27B6"/>
    <w:rsid w:val="000C2DBF"/>
    <w:rsid w:val="000C3BE5"/>
    <w:rsid w:val="000C7044"/>
    <w:rsid w:val="000D0BAF"/>
    <w:rsid w:val="000D0E01"/>
    <w:rsid w:val="000E11CC"/>
    <w:rsid w:val="00102C89"/>
    <w:rsid w:val="0010485D"/>
    <w:rsid w:val="0011592C"/>
    <w:rsid w:val="00120A9A"/>
    <w:rsid w:val="00133A62"/>
    <w:rsid w:val="001400A8"/>
    <w:rsid w:val="00143859"/>
    <w:rsid w:val="00150992"/>
    <w:rsid w:val="0016025F"/>
    <w:rsid w:val="00160D36"/>
    <w:rsid w:val="00166903"/>
    <w:rsid w:val="001726BE"/>
    <w:rsid w:val="001762F5"/>
    <w:rsid w:val="00182275"/>
    <w:rsid w:val="00195DD0"/>
    <w:rsid w:val="001971E2"/>
    <w:rsid w:val="001A5677"/>
    <w:rsid w:val="001B3A34"/>
    <w:rsid w:val="001B4C66"/>
    <w:rsid w:val="001C14FE"/>
    <w:rsid w:val="001C739D"/>
    <w:rsid w:val="001D710B"/>
    <w:rsid w:val="001E3D8C"/>
    <w:rsid w:val="001F54D0"/>
    <w:rsid w:val="0021340A"/>
    <w:rsid w:val="00216F80"/>
    <w:rsid w:val="002210C8"/>
    <w:rsid w:val="002326D3"/>
    <w:rsid w:val="00233942"/>
    <w:rsid w:val="00233DE9"/>
    <w:rsid w:val="00237AA5"/>
    <w:rsid w:val="00241028"/>
    <w:rsid w:val="00244C95"/>
    <w:rsid w:val="002477B9"/>
    <w:rsid w:val="00254CF5"/>
    <w:rsid w:val="00262B66"/>
    <w:rsid w:val="0026316B"/>
    <w:rsid w:val="00263452"/>
    <w:rsid w:val="00276BAC"/>
    <w:rsid w:val="0029121F"/>
    <w:rsid w:val="00294920"/>
    <w:rsid w:val="002A38E7"/>
    <w:rsid w:val="002A5C7B"/>
    <w:rsid w:val="002B43D9"/>
    <w:rsid w:val="002B5E7B"/>
    <w:rsid w:val="002B6CD2"/>
    <w:rsid w:val="002B7C4D"/>
    <w:rsid w:val="002D447B"/>
    <w:rsid w:val="002D669B"/>
    <w:rsid w:val="002F52D1"/>
    <w:rsid w:val="002F6216"/>
    <w:rsid w:val="002F62CD"/>
    <w:rsid w:val="00304CE3"/>
    <w:rsid w:val="00307BCB"/>
    <w:rsid w:val="00321E1B"/>
    <w:rsid w:val="00330BE1"/>
    <w:rsid w:val="0033672A"/>
    <w:rsid w:val="003448B1"/>
    <w:rsid w:val="003565F5"/>
    <w:rsid w:val="003602DF"/>
    <w:rsid w:val="00361630"/>
    <w:rsid w:val="00364ECB"/>
    <w:rsid w:val="003663E2"/>
    <w:rsid w:val="00374530"/>
    <w:rsid w:val="00375636"/>
    <w:rsid w:val="00383948"/>
    <w:rsid w:val="003842A2"/>
    <w:rsid w:val="00397AEB"/>
    <w:rsid w:val="003A6E6E"/>
    <w:rsid w:val="003C1973"/>
    <w:rsid w:val="003C6DF1"/>
    <w:rsid w:val="003D0360"/>
    <w:rsid w:val="003D072E"/>
    <w:rsid w:val="003D0DB5"/>
    <w:rsid w:val="003D5EA3"/>
    <w:rsid w:val="003D64BB"/>
    <w:rsid w:val="003D6756"/>
    <w:rsid w:val="003E3046"/>
    <w:rsid w:val="003E3229"/>
    <w:rsid w:val="003E44BF"/>
    <w:rsid w:val="003F0C3E"/>
    <w:rsid w:val="003F0E4F"/>
    <w:rsid w:val="003F33CA"/>
    <w:rsid w:val="00414D05"/>
    <w:rsid w:val="00433520"/>
    <w:rsid w:val="00437444"/>
    <w:rsid w:val="004415F0"/>
    <w:rsid w:val="00454AAC"/>
    <w:rsid w:val="00454EAA"/>
    <w:rsid w:val="00456C2D"/>
    <w:rsid w:val="004663AC"/>
    <w:rsid w:val="0047614B"/>
    <w:rsid w:val="004800E2"/>
    <w:rsid w:val="00481540"/>
    <w:rsid w:val="004877ED"/>
    <w:rsid w:val="00492728"/>
    <w:rsid w:val="004A67DC"/>
    <w:rsid w:val="004B692E"/>
    <w:rsid w:val="004C371D"/>
    <w:rsid w:val="004C6AD3"/>
    <w:rsid w:val="004D07BF"/>
    <w:rsid w:val="004D0E30"/>
    <w:rsid w:val="004D6A66"/>
    <w:rsid w:val="004E1BC7"/>
    <w:rsid w:val="004F27E5"/>
    <w:rsid w:val="004F601D"/>
    <w:rsid w:val="0050514A"/>
    <w:rsid w:val="00505EA9"/>
    <w:rsid w:val="00513E29"/>
    <w:rsid w:val="00534670"/>
    <w:rsid w:val="005367F0"/>
    <w:rsid w:val="005528D1"/>
    <w:rsid w:val="00555B74"/>
    <w:rsid w:val="00555EC6"/>
    <w:rsid w:val="00560217"/>
    <w:rsid w:val="00563257"/>
    <w:rsid w:val="00577314"/>
    <w:rsid w:val="00587D77"/>
    <w:rsid w:val="005961AD"/>
    <w:rsid w:val="005A2E26"/>
    <w:rsid w:val="005A3A4A"/>
    <w:rsid w:val="005A3B97"/>
    <w:rsid w:val="005B1438"/>
    <w:rsid w:val="005B39C6"/>
    <w:rsid w:val="005B509C"/>
    <w:rsid w:val="005B75C8"/>
    <w:rsid w:val="005C0ECB"/>
    <w:rsid w:val="005D3452"/>
    <w:rsid w:val="005D421A"/>
    <w:rsid w:val="005F0C17"/>
    <w:rsid w:val="005F4F9E"/>
    <w:rsid w:val="005F679C"/>
    <w:rsid w:val="00612B41"/>
    <w:rsid w:val="006246F4"/>
    <w:rsid w:val="00637B11"/>
    <w:rsid w:val="0064631B"/>
    <w:rsid w:val="00654535"/>
    <w:rsid w:val="00661623"/>
    <w:rsid w:val="006626C0"/>
    <w:rsid w:val="006657B1"/>
    <w:rsid w:val="00675EFC"/>
    <w:rsid w:val="006804B0"/>
    <w:rsid w:val="00695E6E"/>
    <w:rsid w:val="006A09A6"/>
    <w:rsid w:val="006A0D14"/>
    <w:rsid w:val="006A1698"/>
    <w:rsid w:val="006A29EF"/>
    <w:rsid w:val="006A2D2F"/>
    <w:rsid w:val="006B5D87"/>
    <w:rsid w:val="006C1E41"/>
    <w:rsid w:val="006C4119"/>
    <w:rsid w:val="006E37EF"/>
    <w:rsid w:val="007054D8"/>
    <w:rsid w:val="00712273"/>
    <w:rsid w:val="007226BC"/>
    <w:rsid w:val="007320AA"/>
    <w:rsid w:val="00743E3C"/>
    <w:rsid w:val="00745508"/>
    <w:rsid w:val="00746141"/>
    <w:rsid w:val="00762CE1"/>
    <w:rsid w:val="00772342"/>
    <w:rsid w:val="0078012C"/>
    <w:rsid w:val="00782BD5"/>
    <w:rsid w:val="0079155B"/>
    <w:rsid w:val="007921F8"/>
    <w:rsid w:val="007940E4"/>
    <w:rsid w:val="00797E8A"/>
    <w:rsid w:val="007A3A5F"/>
    <w:rsid w:val="007A5DE7"/>
    <w:rsid w:val="007B1F7C"/>
    <w:rsid w:val="007D5947"/>
    <w:rsid w:val="007E28DD"/>
    <w:rsid w:val="007E754C"/>
    <w:rsid w:val="007F638E"/>
    <w:rsid w:val="00816952"/>
    <w:rsid w:val="00821340"/>
    <w:rsid w:val="00821A73"/>
    <w:rsid w:val="00822FF8"/>
    <w:rsid w:val="008262B5"/>
    <w:rsid w:val="00827BA7"/>
    <w:rsid w:val="00834885"/>
    <w:rsid w:val="00841E5F"/>
    <w:rsid w:val="00850103"/>
    <w:rsid w:val="00857BD3"/>
    <w:rsid w:val="00866BEF"/>
    <w:rsid w:val="00871B86"/>
    <w:rsid w:val="00880200"/>
    <w:rsid w:val="008825E9"/>
    <w:rsid w:val="00883437"/>
    <w:rsid w:val="00884B93"/>
    <w:rsid w:val="00887120"/>
    <w:rsid w:val="00894C4D"/>
    <w:rsid w:val="008964DB"/>
    <w:rsid w:val="008A74A5"/>
    <w:rsid w:val="008B0493"/>
    <w:rsid w:val="008B0DA5"/>
    <w:rsid w:val="008B5D3D"/>
    <w:rsid w:val="008B67E2"/>
    <w:rsid w:val="008D3587"/>
    <w:rsid w:val="008E0C6B"/>
    <w:rsid w:val="008E3555"/>
    <w:rsid w:val="008F07FE"/>
    <w:rsid w:val="00900457"/>
    <w:rsid w:val="009155E0"/>
    <w:rsid w:val="00916EB8"/>
    <w:rsid w:val="0092418D"/>
    <w:rsid w:val="00932590"/>
    <w:rsid w:val="0094304F"/>
    <w:rsid w:val="009568CB"/>
    <w:rsid w:val="00962E70"/>
    <w:rsid w:val="00964D56"/>
    <w:rsid w:val="00971920"/>
    <w:rsid w:val="00983EB4"/>
    <w:rsid w:val="00984A1A"/>
    <w:rsid w:val="00984B2B"/>
    <w:rsid w:val="009861B8"/>
    <w:rsid w:val="009A257A"/>
    <w:rsid w:val="009B22A0"/>
    <w:rsid w:val="009C33D0"/>
    <w:rsid w:val="009C342F"/>
    <w:rsid w:val="009C54D8"/>
    <w:rsid w:val="009D0DBF"/>
    <w:rsid w:val="009D1DDB"/>
    <w:rsid w:val="009D7393"/>
    <w:rsid w:val="009E0987"/>
    <w:rsid w:val="009F62C2"/>
    <w:rsid w:val="00A06CC6"/>
    <w:rsid w:val="00A17DCA"/>
    <w:rsid w:val="00A265C3"/>
    <w:rsid w:val="00A275AB"/>
    <w:rsid w:val="00A30881"/>
    <w:rsid w:val="00A31930"/>
    <w:rsid w:val="00A36274"/>
    <w:rsid w:val="00A37AE3"/>
    <w:rsid w:val="00A40765"/>
    <w:rsid w:val="00A520B1"/>
    <w:rsid w:val="00A55825"/>
    <w:rsid w:val="00A60206"/>
    <w:rsid w:val="00A622E9"/>
    <w:rsid w:val="00A75CED"/>
    <w:rsid w:val="00AC3143"/>
    <w:rsid w:val="00AC31FA"/>
    <w:rsid w:val="00AC4F60"/>
    <w:rsid w:val="00AD363E"/>
    <w:rsid w:val="00AD550B"/>
    <w:rsid w:val="00AE51F8"/>
    <w:rsid w:val="00AE6EC7"/>
    <w:rsid w:val="00AF497F"/>
    <w:rsid w:val="00B00732"/>
    <w:rsid w:val="00B062C3"/>
    <w:rsid w:val="00B1700F"/>
    <w:rsid w:val="00B22B4D"/>
    <w:rsid w:val="00B36F31"/>
    <w:rsid w:val="00B36F80"/>
    <w:rsid w:val="00B432B7"/>
    <w:rsid w:val="00B433D0"/>
    <w:rsid w:val="00B55049"/>
    <w:rsid w:val="00B5536B"/>
    <w:rsid w:val="00B62C9E"/>
    <w:rsid w:val="00B64A8B"/>
    <w:rsid w:val="00B656B7"/>
    <w:rsid w:val="00B702B5"/>
    <w:rsid w:val="00B84798"/>
    <w:rsid w:val="00BA4C56"/>
    <w:rsid w:val="00BB24CC"/>
    <w:rsid w:val="00BB2A4A"/>
    <w:rsid w:val="00BC2CFC"/>
    <w:rsid w:val="00BE11B6"/>
    <w:rsid w:val="00BE13A8"/>
    <w:rsid w:val="00BF1727"/>
    <w:rsid w:val="00C124BC"/>
    <w:rsid w:val="00C1315C"/>
    <w:rsid w:val="00C13423"/>
    <w:rsid w:val="00C1754E"/>
    <w:rsid w:val="00C219B4"/>
    <w:rsid w:val="00C26546"/>
    <w:rsid w:val="00C3060E"/>
    <w:rsid w:val="00C30B0B"/>
    <w:rsid w:val="00C37EA7"/>
    <w:rsid w:val="00C41385"/>
    <w:rsid w:val="00C51C43"/>
    <w:rsid w:val="00C53FCE"/>
    <w:rsid w:val="00C6429C"/>
    <w:rsid w:val="00C661C8"/>
    <w:rsid w:val="00C7112A"/>
    <w:rsid w:val="00C766DE"/>
    <w:rsid w:val="00C837C9"/>
    <w:rsid w:val="00C84E39"/>
    <w:rsid w:val="00CA2D80"/>
    <w:rsid w:val="00CA427D"/>
    <w:rsid w:val="00CA5083"/>
    <w:rsid w:val="00CB0CCA"/>
    <w:rsid w:val="00CB288D"/>
    <w:rsid w:val="00CC0706"/>
    <w:rsid w:val="00CD2005"/>
    <w:rsid w:val="00CF2271"/>
    <w:rsid w:val="00D03182"/>
    <w:rsid w:val="00D03FDF"/>
    <w:rsid w:val="00D04BCE"/>
    <w:rsid w:val="00D31A0B"/>
    <w:rsid w:val="00D339EC"/>
    <w:rsid w:val="00D4740E"/>
    <w:rsid w:val="00D549BC"/>
    <w:rsid w:val="00D56DEC"/>
    <w:rsid w:val="00D763A6"/>
    <w:rsid w:val="00D82AEB"/>
    <w:rsid w:val="00D8381B"/>
    <w:rsid w:val="00D91276"/>
    <w:rsid w:val="00D93B7A"/>
    <w:rsid w:val="00DA1B66"/>
    <w:rsid w:val="00DA7F17"/>
    <w:rsid w:val="00DB2F91"/>
    <w:rsid w:val="00DB3BB5"/>
    <w:rsid w:val="00DB5586"/>
    <w:rsid w:val="00DC4BB1"/>
    <w:rsid w:val="00DD2835"/>
    <w:rsid w:val="00DE46AC"/>
    <w:rsid w:val="00DF3466"/>
    <w:rsid w:val="00DF6889"/>
    <w:rsid w:val="00E02D54"/>
    <w:rsid w:val="00E114E8"/>
    <w:rsid w:val="00E12DCA"/>
    <w:rsid w:val="00E24C40"/>
    <w:rsid w:val="00E254FB"/>
    <w:rsid w:val="00E30054"/>
    <w:rsid w:val="00E34E01"/>
    <w:rsid w:val="00E41FF7"/>
    <w:rsid w:val="00E4580E"/>
    <w:rsid w:val="00E653BC"/>
    <w:rsid w:val="00E66891"/>
    <w:rsid w:val="00E677A5"/>
    <w:rsid w:val="00E8003D"/>
    <w:rsid w:val="00E90513"/>
    <w:rsid w:val="00E9312A"/>
    <w:rsid w:val="00E94BA3"/>
    <w:rsid w:val="00E96400"/>
    <w:rsid w:val="00E966CB"/>
    <w:rsid w:val="00EB74D6"/>
    <w:rsid w:val="00EC0157"/>
    <w:rsid w:val="00EC5D54"/>
    <w:rsid w:val="00ED198F"/>
    <w:rsid w:val="00EE14D6"/>
    <w:rsid w:val="00EE15B2"/>
    <w:rsid w:val="00EE45A0"/>
    <w:rsid w:val="00EE47B0"/>
    <w:rsid w:val="00F0684D"/>
    <w:rsid w:val="00F07A52"/>
    <w:rsid w:val="00F15F7C"/>
    <w:rsid w:val="00F217A1"/>
    <w:rsid w:val="00F343BE"/>
    <w:rsid w:val="00F373A0"/>
    <w:rsid w:val="00F4311E"/>
    <w:rsid w:val="00F44A85"/>
    <w:rsid w:val="00F5038C"/>
    <w:rsid w:val="00F54437"/>
    <w:rsid w:val="00F7011E"/>
    <w:rsid w:val="00F76FAD"/>
    <w:rsid w:val="00F82F07"/>
    <w:rsid w:val="00F83061"/>
    <w:rsid w:val="00F86227"/>
    <w:rsid w:val="00F9304A"/>
    <w:rsid w:val="00F93682"/>
    <w:rsid w:val="00FA0652"/>
    <w:rsid w:val="00FA477C"/>
    <w:rsid w:val="00FB6718"/>
    <w:rsid w:val="00FB732A"/>
    <w:rsid w:val="00FC7C2A"/>
    <w:rsid w:val="00FE203D"/>
    <w:rsid w:val="00FE268A"/>
    <w:rsid w:val="00FE3763"/>
    <w:rsid w:val="00FE4A27"/>
    <w:rsid w:val="00FF3A9E"/>
    <w:rsid w:val="00FF62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A34"/>
  </w:style>
  <w:style w:type="paragraph" w:styleId="Heading1">
    <w:name w:val="heading 1"/>
    <w:basedOn w:val="Normal"/>
    <w:next w:val="Normal"/>
    <w:link w:val="Heading1Char"/>
    <w:uiPriority w:val="9"/>
    <w:qFormat/>
    <w:rsid w:val="001B3A3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B3A3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B3A3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B3A3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B3A3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B3A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B3A3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B3A3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B3A3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92E"/>
  </w:style>
  <w:style w:type="paragraph" w:styleId="Footer">
    <w:name w:val="footer"/>
    <w:basedOn w:val="Normal"/>
    <w:link w:val="FooterChar"/>
    <w:uiPriority w:val="99"/>
    <w:unhideWhenUsed/>
    <w:rsid w:val="004B6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692E"/>
  </w:style>
  <w:style w:type="paragraph" w:styleId="BalloonText">
    <w:name w:val="Balloon Text"/>
    <w:basedOn w:val="Normal"/>
    <w:link w:val="BalloonTextChar"/>
    <w:uiPriority w:val="99"/>
    <w:semiHidden/>
    <w:unhideWhenUsed/>
    <w:rsid w:val="004B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92E"/>
    <w:rPr>
      <w:rFonts w:ascii="Tahoma" w:hAnsi="Tahoma" w:cs="Tahoma"/>
      <w:sz w:val="16"/>
      <w:szCs w:val="16"/>
    </w:rPr>
  </w:style>
  <w:style w:type="paragraph" w:styleId="ListParagraph">
    <w:name w:val="List Paragraph"/>
    <w:aliases w:val="PDP DOCUMENT SUBTITLE,Bullet Points,Liste Paragraf,Liststycke SKL,Normal bullet 2,Bullet list,Table of contents numbered,En tête 1,Foot note"/>
    <w:basedOn w:val="Normal"/>
    <w:link w:val="ListParagraphChar"/>
    <w:uiPriority w:val="34"/>
    <w:qFormat/>
    <w:rsid w:val="001B3A34"/>
    <w:pPr>
      <w:ind w:left="720"/>
      <w:contextualSpacing/>
    </w:pPr>
  </w:style>
  <w:style w:type="character" w:styleId="PageNumber">
    <w:name w:val="page number"/>
    <w:basedOn w:val="DefaultParagraphFont"/>
    <w:semiHidden/>
    <w:unhideWhenUsed/>
    <w:rsid w:val="00F373A0"/>
  </w:style>
  <w:style w:type="character" w:customStyle="1" w:styleId="st">
    <w:name w:val="st"/>
    <w:basedOn w:val="DefaultParagraphFont"/>
    <w:rsid w:val="00304CE3"/>
  </w:style>
  <w:style w:type="character" w:styleId="Emphasis">
    <w:name w:val="Emphasis"/>
    <w:uiPriority w:val="20"/>
    <w:qFormat/>
    <w:rsid w:val="001B3A34"/>
    <w:rPr>
      <w:b/>
      <w:bCs/>
      <w:i/>
      <w:iCs/>
      <w:spacing w:val="10"/>
      <w:bdr w:val="none" w:sz="0" w:space="0" w:color="auto"/>
      <w:shd w:val="clear" w:color="auto" w:fill="auto"/>
    </w:rPr>
  </w:style>
  <w:style w:type="character" w:styleId="CommentReference">
    <w:name w:val="annotation reference"/>
    <w:basedOn w:val="DefaultParagraphFont"/>
    <w:uiPriority w:val="99"/>
    <w:semiHidden/>
    <w:unhideWhenUsed/>
    <w:rsid w:val="00FF62D0"/>
    <w:rPr>
      <w:sz w:val="16"/>
      <w:szCs w:val="16"/>
    </w:rPr>
  </w:style>
  <w:style w:type="paragraph" w:styleId="CommentText">
    <w:name w:val="annotation text"/>
    <w:basedOn w:val="Normal"/>
    <w:link w:val="CommentTextChar"/>
    <w:uiPriority w:val="99"/>
    <w:semiHidden/>
    <w:unhideWhenUsed/>
    <w:rsid w:val="00FF62D0"/>
    <w:pPr>
      <w:spacing w:line="240" w:lineRule="auto"/>
    </w:pPr>
    <w:rPr>
      <w:sz w:val="20"/>
      <w:szCs w:val="20"/>
    </w:rPr>
  </w:style>
  <w:style w:type="character" w:customStyle="1" w:styleId="CommentTextChar">
    <w:name w:val="Comment Text Char"/>
    <w:basedOn w:val="DefaultParagraphFont"/>
    <w:link w:val="CommentText"/>
    <w:uiPriority w:val="99"/>
    <w:semiHidden/>
    <w:rsid w:val="00FF62D0"/>
    <w:rPr>
      <w:sz w:val="20"/>
      <w:szCs w:val="20"/>
    </w:rPr>
  </w:style>
  <w:style w:type="paragraph" w:styleId="CommentSubject">
    <w:name w:val="annotation subject"/>
    <w:basedOn w:val="CommentText"/>
    <w:next w:val="CommentText"/>
    <w:link w:val="CommentSubjectChar"/>
    <w:uiPriority w:val="99"/>
    <w:semiHidden/>
    <w:unhideWhenUsed/>
    <w:rsid w:val="00FF62D0"/>
    <w:rPr>
      <w:b/>
      <w:bCs/>
    </w:rPr>
  </w:style>
  <w:style w:type="character" w:customStyle="1" w:styleId="CommentSubjectChar">
    <w:name w:val="Comment Subject Char"/>
    <w:basedOn w:val="CommentTextChar"/>
    <w:link w:val="CommentSubject"/>
    <w:uiPriority w:val="99"/>
    <w:semiHidden/>
    <w:rsid w:val="00FF62D0"/>
    <w:rPr>
      <w:b/>
      <w:bCs/>
      <w:sz w:val="20"/>
      <w:szCs w:val="20"/>
    </w:rPr>
  </w:style>
  <w:style w:type="character" w:styleId="Hyperlink">
    <w:name w:val="Hyperlink"/>
    <w:basedOn w:val="DefaultParagraphFont"/>
    <w:uiPriority w:val="99"/>
    <w:unhideWhenUsed/>
    <w:rsid w:val="008964DB"/>
    <w:rPr>
      <w:color w:val="0000FF"/>
      <w:u w:val="single"/>
    </w:rPr>
  </w:style>
  <w:style w:type="paragraph" w:styleId="FootnoteText">
    <w:name w:val="footnote text"/>
    <w:aliases w:val="Footnote Text Char Char Char,Footnote Text Char Char,single space,footnote text,FOOTNOTES,fn,Testo nota a piè di pagina Carattere,Geneva 9,Font: Geneva 9,Boston 10,f,Footnote Text Char1,ft Char Char,single space Char Char,ft,ADB,pod carou"/>
    <w:basedOn w:val="Normal"/>
    <w:link w:val="FootnoteTextChar"/>
    <w:semiHidden/>
    <w:rsid w:val="00E653BC"/>
    <w:pPr>
      <w:spacing w:after="240" w:line="240" w:lineRule="auto"/>
      <w:ind w:left="357" w:hanging="357"/>
      <w:jc w:val="both"/>
    </w:pPr>
    <w:rPr>
      <w:rFonts w:ascii="Arial" w:eastAsia="Times New Roman" w:hAnsi="Arial" w:cs="Times New Roman"/>
      <w:sz w:val="20"/>
      <w:szCs w:val="20"/>
      <w:lang w:eastAsia="en-GB"/>
    </w:rPr>
  </w:style>
  <w:style w:type="character" w:customStyle="1" w:styleId="FootnoteTextChar">
    <w:name w:val="Footnote Text Char"/>
    <w:aliases w:val="Footnote Text Char Char Char Char,Footnote Text Char Char Char1,single space Char,footnote text Char,FOOTNOTES Char,fn Char,Testo nota a piè di pagina Carattere Char,Geneva 9 Char,Font: Geneva 9 Char,Boston 10 Char,f Char,ft Char"/>
    <w:basedOn w:val="DefaultParagraphFont"/>
    <w:link w:val="FootnoteText"/>
    <w:semiHidden/>
    <w:rsid w:val="00E653BC"/>
    <w:rPr>
      <w:rFonts w:ascii="Arial" w:eastAsia="Times New Roman" w:hAnsi="Arial" w:cs="Times New Roman"/>
      <w:sz w:val="20"/>
      <w:szCs w:val="20"/>
      <w:lang w:eastAsia="en-GB"/>
    </w:rPr>
  </w:style>
  <w:style w:type="character" w:styleId="FootnoteReference">
    <w:name w:val="footnote reference"/>
    <w:aliases w:val="BVI fnr,16 Point,Superscript 6 Point,nota pié di pagina,Times 10 Point, Exposant 3 Point,Footnote symbol,Footnote reference number,Exposant 3 Point,EN Footnote Reference,note TESI,Footnote Reference Char Char Char"/>
    <w:basedOn w:val="DefaultParagraphFont"/>
    <w:uiPriority w:val="99"/>
    <w:semiHidden/>
    <w:rsid w:val="00E653BC"/>
    <w:rPr>
      <w:rFonts w:ascii="TimesNewRomanPS" w:hAnsi="TimesNewRomanPS"/>
      <w:position w:val="6"/>
      <w:sz w:val="16"/>
    </w:rPr>
  </w:style>
  <w:style w:type="paragraph" w:customStyle="1" w:styleId="overallobjectiveLF">
    <w:name w:val="overall objective_LF"/>
    <w:basedOn w:val="Normal"/>
    <w:rsid w:val="00E653BC"/>
    <w:pPr>
      <w:spacing w:before="60" w:after="60" w:line="240" w:lineRule="auto"/>
      <w:ind w:left="180"/>
    </w:pPr>
    <w:rPr>
      <w:rFonts w:ascii="Arial" w:eastAsia="Times New Roman" w:hAnsi="Arial" w:cs="Times New Roman"/>
      <w:b/>
      <w:bCs/>
      <w:color w:val="4A525A"/>
      <w:sz w:val="14"/>
      <w:szCs w:val="20"/>
      <w:lang w:eastAsia="it-IT"/>
    </w:rPr>
  </w:style>
  <w:style w:type="paragraph" w:customStyle="1" w:styleId="titlefront">
    <w:name w:val="title_front"/>
    <w:basedOn w:val="Normal"/>
    <w:rsid w:val="00BB2A4A"/>
    <w:pPr>
      <w:spacing w:before="240" w:after="0" w:line="240" w:lineRule="auto"/>
      <w:ind w:left="1701"/>
      <w:jc w:val="right"/>
    </w:pPr>
    <w:rPr>
      <w:rFonts w:ascii="Optima" w:eastAsia="Times New Roman" w:hAnsi="Optima" w:cs="Times New Roman"/>
      <w:b/>
      <w:sz w:val="28"/>
      <w:szCs w:val="20"/>
      <w:lang w:eastAsia="en-GB"/>
    </w:rPr>
  </w:style>
  <w:style w:type="paragraph" w:customStyle="1" w:styleId="Char2">
    <w:name w:val="Char2"/>
    <w:basedOn w:val="Normal"/>
    <w:rsid w:val="00BB2A4A"/>
    <w:pPr>
      <w:spacing w:after="160" w:line="240" w:lineRule="exact"/>
    </w:pPr>
    <w:rPr>
      <w:rFonts w:ascii="Tahoma" w:eastAsia="Times New Roman" w:hAnsi="Tahoma" w:cs="Times New Roman"/>
      <w:sz w:val="20"/>
      <w:szCs w:val="20"/>
      <w:lang w:val="en-US"/>
    </w:rPr>
  </w:style>
  <w:style w:type="paragraph" w:styleId="BodyText">
    <w:name w:val="Body Text"/>
    <w:basedOn w:val="Normal"/>
    <w:link w:val="BodyTextChar"/>
    <w:rsid w:val="00BB2A4A"/>
    <w:pPr>
      <w:spacing w:before="120" w:after="120" w:line="240" w:lineRule="auto"/>
    </w:pPr>
    <w:rPr>
      <w:rFonts w:ascii="Arial" w:eastAsia="Times New Roman" w:hAnsi="Arial" w:cs="Times New Roman"/>
      <w:snapToGrid w:val="0"/>
      <w:sz w:val="20"/>
      <w:szCs w:val="20"/>
      <w:lang w:val="sv-SE"/>
    </w:rPr>
  </w:style>
  <w:style w:type="character" w:customStyle="1" w:styleId="BodyTextChar">
    <w:name w:val="Body Text Char"/>
    <w:basedOn w:val="DefaultParagraphFont"/>
    <w:link w:val="BodyText"/>
    <w:rsid w:val="00BB2A4A"/>
    <w:rPr>
      <w:rFonts w:ascii="Arial" w:eastAsia="Times New Roman" w:hAnsi="Arial" w:cs="Times New Roman"/>
      <w:snapToGrid w:val="0"/>
      <w:sz w:val="20"/>
      <w:szCs w:val="20"/>
      <w:lang w:val="sv-SE"/>
    </w:rPr>
  </w:style>
  <w:style w:type="paragraph" w:customStyle="1" w:styleId="Default">
    <w:name w:val="Default"/>
    <w:rsid w:val="00B5536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51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
    <w:basedOn w:val="DefaultParagraphFont"/>
    <w:link w:val="ListParagraph"/>
    <w:uiPriority w:val="34"/>
    <w:rsid w:val="00A36274"/>
  </w:style>
  <w:style w:type="character" w:customStyle="1" w:styleId="Heading2Char">
    <w:name w:val="Heading 2 Char"/>
    <w:basedOn w:val="DefaultParagraphFont"/>
    <w:link w:val="Heading2"/>
    <w:uiPriority w:val="9"/>
    <w:rsid w:val="001B3A34"/>
    <w:rPr>
      <w:rFonts w:asciiTheme="majorHAnsi" w:eastAsiaTheme="majorEastAsia" w:hAnsiTheme="majorHAnsi" w:cstheme="majorBidi"/>
      <w:b/>
      <w:bCs/>
      <w:sz w:val="26"/>
      <w:szCs w:val="26"/>
    </w:rPr>
  </w:style>
  <w:style w:type="character" w:styleId="Strong">
    <w:name w:val="Strong"/>
    <w:uiPriority w:val="22"/>
    <w:qFormat/>
    <w:rsid w:val="001B3A34"/>
    <w:rPr>
      <w:b/>
      <w:bCs/>
    </w:rPr>
  </w:style>
  <w:style w:type="character" w:customStyle="1" w:styleId="Heading1Char">
    <w:name w:val="Heading 1 Char"/>
    <w:basedOn w:val="DefaultParagraphFont"/>
    <w:link w:val="Heading1"/>
    <w:uiPriority w:val="9"/>
    <w:rsid w:val="001B3A34"/>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1B3A3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B3A3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B3A3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B3A3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B3A3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B3A3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B3A3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B3A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B3A3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B3A3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B3A34"/>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1B3A34"/>
    <w:pPr>
      <w:spacing w:after="0" w:line="240" w:lineRule="auto"/>
    </w:pPr>
  </w:style>
  <w:style w:type="paragraph" w:styleId="Quote">
    <w:name w:val="Quote"/>
    <w:basedOn w:val="Normal"/>
    <w:next w:val="Normal"/>
    <w:link w:val="QuoteChar"/>
    <w:uiPriority w:val="29"/>
    <w:qFormat/>
    <w:rsid w:val="001B3A34"/>
    <w:pPr>
      <w:spacing w:before="200" w:after="0"/>
      <w:ind w:left="360" w:right="360"/>
    </w:pPr>
    <w:rPr>
      <w:i/>
      <w:iCs/>
    </w:rPr>
  </w:style>
  <w:style w:type="character" w:customStyle="1" w:styleId="QuoteChar">
    <w:name w:val="Quote Char"/>
    <w:basedOn w:val="DefaultParagraphFont"/>
    <w:link w:val="Quote"/>
    <w:uiPriority w:val="29"/>
    <w:rsid w:val="001B3A34"/>
    <w:rPr>
      <w:i/>
      <w:iCs/>
    </w:rPr>
  </w:style>
  <w:style w:type="paragraph" w:styleId="IntenseQuote">
    <w:name w:val="Intense Quote"/>
    <w:basedOn w:val="Normal"/>
    <w:next w:val="Normal"/>
    <w:link w:val="IntenseQuoteChar"/>
    <w:uiPriority w:val="30"/>
    <w:qFormat/>
    <w:rsid w:val="001B3A3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B3A34"/>
    <w:rPr>
      <w:b/>
      <w:bCs/>
      <w:i/>
      <w:iCs/>
    </w:rPr>
  </w:style>
  <w:style w:type="character" w:styleId="SubtleEmphasis">
    <w:name w:val="Subtle Emphasis"/>
    <w:uiPriority w:val="19"/>
    <w:qFormat/>
    <w:rsid w:val="001B3A34"/>
    <w:rPr>
      <w:i/>
      <w:iCs/>
    </w:rPr>
  </w:style>
  <w:style w:type="character" w:styleId="IntenseEmphasis">
    <w:name w:val="Intense Emphasis"/>
    <w:uiPriority w:val="21"/>
    <w:qFormat/>
    <w:rsid w:val="001B3A34"/>
    <w:rPr>
      <w:b/>
      <w:bCs/>
    </w:rPr>
  </w:style>
  <w:style w:type="character" w:styleId="SubtleReference">
    <w:name w:val="Subtle Reference"/>
    <w:uiPriority w:val="31"/>
    <w:qFormat/>
    <w:rsid w:val="001B3A34"/>
    <w:rPr>
      <w:smallCaps/>
    </w:rPr>
  </w:style>
  <w:style w:type="character" w:styleId="IntenseReference">
    <w:name w:val="Intense Reference"/>
    <w:uiPriority w:val="32"/>
    <w:qFormat/>
    <w:rsid w:val="001B3A34"/>
    <w:rPr>
      <w:smallCaps/>
      <w:spacing w:val="5"/>
      <w:u w:val="single"/>
    </w:rPr>
  </w:style>
  <w:style w:type="character" w:styleId="BookTitle">
    <w:name w:val="Book Title"/>
    <w:uiPriority w:val="33"/>
    <w:qFormat/>
    <w:rsid w:val="001B3A34"/>
    <w:rPr>
      <w:i/>
      <w:iCs/>
      <w:smallCaps/>
      <w:spacing w:val="5"/>
    </w:rPr>
  </w:style>
  <w:style w:type="paragraph" w:styleId="TOCHeading">
    <w:name w:val="TOC Heading"/>
    <w:basedOn w:val="Heading1"/>
    <w:next w:val="Normal"/>
    <w:uiPriority w:val="39"/>
    <w:semiHidden/>
    <w:unhideWhenUsed/>
    <w:qFormat/>
    <w:rsid w:val="001B3A34"/>
    <w:pPr>
      <w:outlineLvl w:val="9"/>
    </w:pPr>
    <w:rPr>
      <w:lang w:bidi="en-US"/>
    </w:rPr>
  </w:style>
  <w:style w:type="paragraph" w:styleId="TOC1">
    <w:name w:val="toc 1"/>
    <w:basedOn w:val="Normal"/>
    <w:next w:val="Normal"/>
    <w:autoRedefine/>
    <w:uiPriority w:val="39"/>
    <w:unhideWhenUsed/>
    <w:rsid w:val="001B3A34"/>
    <w:pPr>
      <w:spacing w:after="100"/>
    </w:pPr>
  </w:style>
  <w:style w:type="paragraph" w:styleId="TOC2">
    <w:name w:val="toc 2"/>
    <w:basedOn w:val="Normal"/>
    <w:next w:val="Normal"/>
    <w:autoRedefine/>
    <w:uiPriority w:val="39"/>
    <w:unhideWhenUsed/>
    <w:rsid w:val="001B3A34"/>
    <w:pPr>
      <w:spacing w:after="100"/>
      <w:ind w:left="220"/>
    </w:pPr>
  </w:style>
  <w:style w:type="character" w:styleId="FollowedHyperlink">
    <w:name w:val="FollowedHyperlink"/>
    <w:basedOn w:val="DefaultParagraphFont"/>
    <w:uiPriority w:val="99"/>
    <w:semiHidden/>
    <w:unhideWhenUsed/>
    <w:rsid w:val="00CF22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A34"/>
  </w:style>
  <w:style w:type="paragraph" w:styleId="Heading1">
    <w:name w:val="heading 1"/>
    <w:basedOn w:val="Normal"/>
    <w:next w:val="Normal"/>
    <w:link w:val="Heading1Char"/>
    <w:uiPriority w:val="9"/>
    <w:qFormat/>
    <w:rsid w:val="001B3A3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B3A3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B3A3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B3A3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B3A3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B3A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B3A3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B3A3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B3A3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92E"/>
  </w:style>
  <w:style w:type="paragraph" w:styleId="Footer">
    <w:name w:val="footer"/>
    <w:basedOn w:val="Normal"/>
    <w:link w:val="FooterChar"/>
    <w:uiPriority w:val="99"/>
    <w:unhideWhenUsed/>
    <w:rsid w:val="004B6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692E"/>
  </w:style>
  <w:style w:type="paragraph" w:styleId="BalloonText">
    <w:name w:val="Balloon Text"/>
    <w:basedOn w:val="Normal"/>
    <w:link w:val="BalloonTextChar"/>
    <w:uiPriority w:val="99"/>
    <w:semiHidden/>
    <w:unhideWhenUsed/>
    <w:rsid w:val="004B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92E"/>
    <w:rPr>
      <w:rFonts w:ascii="Tahoma" w:hAnsi="Tahoma" w:cs="Tahoma"/>
      <w:sz w:val="16"/>
      <w:szCs w:val="16"/>
    </w:rPr>
  </w:style>
  <w:style w:type="paragraph" w:styleId="ListParagraph">
    <w:name w:val="List Paragraph"/>
    <w:aliases w:val="PDP DOCUMENT SUBTITLE,Bullet Points,Liste Paragraf,Liststycke SKL,Normal bullet 2,Bullet list,Table of contents numbered,En tête 1,Foot note"/>
    <w:basedOn w:val="Normal"/>
    <w:link w:val="ListParagraphChar"/>
    <w:uiPriority w:val="34"/>
    <w:qFormat/>
    <w:rsid w:val="001B3A34"/>
    <w:pPr>
      <w:ind w:left="720"/>
      <w:contextualSpacing/>
    </w:pPr>
  </w:style>
  <w:style w:type="character" w:styleId="PageNumber">
    <w:name w:val="page number"/>
    <w:basedOn w:val="DefaultParagraphFont"/>
    <w:semiHidden/>
    <w:unhideWhenUsed/>
    <w:rsid w:val="00F373A0"/>
  </w:style>
  <w:style w:type="character" w:customStyle="1" w:styleId="st">
    <w:name w:val="st"/>
    <w:basedOn w:val="DefaultParagraphFont"/>
    <w:rsid w:val="00304CE3"/>
  </w:style>
  <w:style w:type="character" w:styleId="Emphasis">
    <w:name w:val="Emphasis"/>
    <w:uiPriority w:val="20"/>
    <w:qFormat/>
    <w:rsid w:val="001B3A34"/>
    <w:rPr>
      <w:b/>
      <w:bCs/>
      <w:i/>
      <w:iCs/>
      <w:spacing w:val="10"/>
      <w:bdr w:val="none" w:sz="0" w:space="0" w:color="auto"/>
      <w:shd w:val="clear" w:color="auto" w:fill="auto"/>
    </w:rPr>
  </w:style>
  <w:style w:type="character" w:styleId="CommentReference">
    <w:name w:val="annotation reference"/>
    <w:basedOn w:val="DefaultParagraphFont"/>
    <w:uiPriority w:val="99"/>
    <w:semiHidden/>
    <w:unhideWhenUsed/>
    <w:rsid w:val="00FF62D0"/>
    <w:rPr>
      <w:sz w:val="16"/>
      <w:szCs w:val="16"/>
    </w:rPr>
  </w:style>
  <w:style w:type="paragraph" w:styleId="CommentText">
    <w:name w:val="annotation text"/>
    <w:basedOn w:val="Normal"/>
    <w:link w:val="CommentTextChar"/>
    <w:uiPriority w:val="99"/>
    <w:semiHidden/>
    <w:unhideWhenUsed/>
    <w:rsid w:val="00FF62D0"/>
    <w:pPr>
      <w:spacing w:line="240" w:lineRule="auto"/>
    </w:pPr>
    <w:rPr>
      <w:sz w:val="20"/>
      <w:szCs w:val="20"/>
    </w:rPr>
  </w:style>
  <w:style w:type="character" w:customStyle="1" w:styleId="CommentTextChar">
    <w:name w:val="Comment Text Char"/>
    <w:basedOn w:val="DefaultParagraphFont"/>
    <w:link w:val="CommentText"/>
    <w:uiPriority w:val="99"/>
    <w:semiHidden/>
    <w:rsid w:val="00FF62D0"/>
    <w:rPr>
      <w:sz w:val="20"/>
      <w:szCs w:val="20"/>
    </w:rPr>
  </w:style>
  <w:style w:type="paragraph" w:styleId="CommentSubject">
    <w:name w:val="annotation subject"/>
    <w:basedOn w:val="CommentText"/>
    <w:next w:val="CommentText"/>
    <w:link w:val="CommentSubjectChar"/>
    <w:uiPriority w:val="99"/>
    <w:semiHidden/>
    <w:unhideWhenUsed/>
    <w:rsid w:val="00FF62D0"/>
    <w:rPr>
      <w:b/>
      <w:bCs/>
    </w:rPr>
  </w:style>
  <w:style w:type="character" w:customStyle="1" w:styleId="CommentSubjectChar">
    <w:name w:val="Comment Subject Char"/>
    <w:basedOn w:val="CommentTextChar"/>
    <w:link w:val="CommentSubject"/>
    <w:uiPriority w:val="99"/>
    <w:semiHidden/>
    <w:rsid w:val="00FF62D0"/>
    <w:rPr>
      <w:b/>
      <w:bCs/>
      <w:sz w:val="20"/>
      <w:szCs w:val="20"/>
    </w:rPr>
  </w:style>
  <w:style w:type="character" w:styleId="Hyperlink">
    <w:name w:val="Hyperlink"/>
    <w:basedOn w:val="DefaultParagraphFont"/>
    <w:uiPriority w:val="99"/>
    <w:unhideWhenUsed/>
    <w:rsid w:val="008964DB"/>
    <w:rPr>
      <w:color w:val="0000FF"/>
      <w:u w:val="single"/>
    </w:rPr>
  </w:style>
  <w:style w:type="paragraph" w:styleId="FootnoteText">
    <w:name w:val="footnote text"/>
    <w:aliases w:val="Footnote Text Char Char Char,Footnote Text Char Char,single space,footnote text,FOOTNOTES,fn,Testo nota a piè di pagina Carattere,Geneva 9,Font: Geneva 9,Boston 10,f,Footnote Text Char1,ft Char Char,single space Char Char,ft,ADB,pod carou"/>
    <w:basedOn w:val="Normal"/>
    <w:link w:val="FootnoteTextChar"/>
    <w:semiHidden/>
    <w:rsid w:val="00E653BC"/>
    <w:pPr>
      <w:spacing w:after="240" w:line="240" w:lineRule="auto"/>
      <w:ind w:left="357" w:hanging="357"/>
      <w:jc w:val="both"/>
    </w:pPr>
    <w:rPr>
      <w:rFonts w:ascii="Arial" w:eastAsia="Times New Roman" w:hAnsi="Arial" w:cs="Times New Roman"/>
      <w:sz w:val="20"/>
      <w:szCs w:val="20"/>
      <w:lang w:eastAsia="en-GB"/>
    </w:rPr>
  </w:style>
  <w:style w:type="character" w:customStyle="1" w:styleId="FootnoteTextChar">
    <w:name w:val="Footnote Text Char"/>
    <w:aliases w:val="Footnote Text Char Char Char Char,Footnote Text Char Char Char1,single space Char,footnote text Char,FOOTNOTES Char,fn Char,Testo nota a piè di pagina Carattere Char,Geneva 9 Char,Font: Geneva 9 Char,Boston 10 Char,f Char,ft Char"/>
    <w:basedOn w:val="DefaultParagraphFont"/>
    <w:link w:val="FootnoteText"/>
    <w:semiHidden/>
    <w:rsid w:val="00E653BC"/>
    <w:rPr>
      <w:rFonts w:ascii="Arial" w:eastAsia="Times New Roman" w:hAnsi="Arial" w:cs="Times New Roman"/>
      <w:sz w:val="20"/>
      <w:szCs w:val="20"/>
      <w:lang w:eastAsia="en-GB"/>
    </w:rPr>
  </w:style>
  <w:style w:type="character" w:styleId="FootnoteReference">
    <w:name w:val="footnote reference"/>
    <w:aliases w:val="BVI fnr,16 Point,Superscript 6 Point,nota pié di pagina,Times 10 Point, Exposant 3 Point,Footnote symbol,Footnote reference number,Exposant 3 Point,EN Footnote Reference,note TESI,Footnote Reference Char Char Char"/>
    <w:basedOn w:val="DefaultParagraphFont"/>
    <w:uiPriority w:val="99"/>
    <w:semiHidden/>
    <w:rsid w:val="00E653BC"/>
    <w:rPr>
      <w:rFonts w:ascii="TimesNewRomanPS" w:hAnsi="TimesNewRomanPS"/>
      <w:position w:val="6"/>
      <w:sz w:val="16"/>
    </w:rPr>
  </w:style>
  <w:style w:type="paragraph" w:customStyle="1" w:styleId="overallobjectiveLF">
    <w:name w:val="overall objective_LF"/>
    <w:basedOn w:val="Normal"/>
    <w:rsid w:val="00E653BC"/>
    <w:pPr>
      <w:spacing w:before="60" w:after="60" w:line="240" w:lineRule="auto"/>
      <w:ind w:left="180"/>
    </w:pPr>
    <w:rPr>
      <w:rFonts w:ascii="Arial" w:eastAsia="Times New Roman" w:hAnsi="Arial" w:cs="Times New Roman"/>
      <w:b/>
      <w:bCs/>
      <w:color w:val="4A525A"/>
      <w:sz w:val="14"/>
      <w:szCs w:val="20"/>
      <w:lang w:eastAsia="it-IT"/>
    </w:rPr>
  </w:style>
  <w:style w:type="paragraph" w:customStyle="1" w:styleId="titlefront">
    <w:name w:val="title_front"/>
    <w:basedOn w:val="Normal"/>
    <w:rsid w:val="00BB2A4A"/>
    <w:pPr>
      <w:spacing w:before="240" w:after="0" w:line="240" w:lineRule="auto"/>
      <w:ind w:left="1701"/>
      <w:jc w:val="right"/>
    </w:pPr>
    <w:rPr>
      <w:rFonts w:ascii="Optima" w:eastAsia="Times New Roman" w:hAnsi="Optima" w:cs="Times New Roman"/>
      <w:b/>
      <w:sz w:val="28"/>
      <w:szCs w:val="20"/>
      <w:lang w:eastAsia="en-GB"/>
    </w:rPr>
  </w:style>
  <w:style w:type="paragraph" w:customStyle="1" w:styleId="Char2">
    <w:name w:val="Char2"/>
    <w:basedOn w:val="Normal"/>
    <w:rsid w:val="00BB2A4A"/>
    <w:pPr>
      <w:spacing w:after="160" w:line="240" w:lineRule="exact"/>
    </w:pPr>
    <w:rPr>
      <w:rFonts w:ascii="Tahoma" w:eastAsia="Times New Roman" w:hAnsi="Tahoma" w:cs="Times New Roman"/>
      <w:sz w:val="20"/>
      <w:szCs w:val="20"/>
      <w:lang w:val="en-US"/>
    </w:rPr>
  </w:style>
  <w:style w:type="paragraph" w:styleId="BodyText">
    <w:name w:val="Body Text"/>
    <w:basedOn w:val="Normal"/>
    <w:link w:val="BodyTextChar"/>
    <w:rsid w:val="00BB2A4A"/>
    <w:pPr>
      <w:spacing w:before="120" w:after="120" w:line="240" w:lineRule="auto"/>
    </w:pPr>
    <w:rPr>
      <w:rFonts w:ascii="Arial" w:eastAsia="Times New Roman" w:hAnsi="Arial" w:cs="Times New Roman"/>
      <w:snapToGrid w:val="0"/>
      <w:sz w:val="20"/>
      <w:szCs w:val="20"/>
      <w:lang w:val="sv-SE"/>
    </w:rPr>
  </w:style>
  <w:style w:type="character" w:customStyle="1" w:styleId="BodyTextChar">
    <w:name w:val="Body Text Char"/>
    <w:basedOn w:val="DefaultParagraphFont"/>
    <w:link w:val="BodyText"/>
    <w:rsid w:val="00BB2A4A"/>
    <w:rPr>
      <w:rFonts w:ascii="Arial" w:eastAsia="Times New Roman" w:hAnsi="Arial" w:cs="Times New Roman"/>
      <w:snapToGrid w:val="0"/>
      <w:sz w:val="20"/>
      <w:szCs w:val="20"/>
      <w:lang w:val="sv-SE"/>
    </w:rPr>
  </w:style>
  <w:style w:type="paragraph" w:customStyle="1" w:styleId="Default">
    <w:name w:val="Default"/>
    <w:rsid w:val="00B5536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51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
    <w:basedOn w:val="DefaultParagraphFont"/>
    <w:link w:val="ListParagraph"/>
    <w:uiPriority w:val="34"/>
    <w:rsid w:val="00A36274"/>
  </w:style>
  <w:style w:type="character" w:customStyle="1" w:styleId="Heading2Char">
    <w:name w:val="Heading 2 Char"/>
    <w:basedOn w:val="DefaultParagraphFont"/>
    <w:link w:val="Heading2"/>
    <w:uiPriority w:val="9"/>
    <w:rsid w:val="001B3A34"/>
    <w:rPr>
      <w:rFonts w:asciiTheme="majorHAnsi" w:eastAsiaTheme="majorEastAsia" w:hAnsiTheme="majorHAnsi" w:cstheme="majorBidi"/>
      <w:b/>
      <w:bCs/>
      <w:sz w:val="26"/>
      <w:szCs w:val="26"/>
    </w:rPr>
  </w:style>
  <w:style w:type="character" w:styleId="Strong">
    <w:name w:val="Strong"/>
    <w:uiPriority w:val="22"/>
    <w:qFormat/>
    <w:rsid w:val="001B3A34"/>
    <w:rPr>
      <w:b/>
      <w:bCs/>
    </w:rPr>
  </w:style>
  <w:style w:type="character" w:customStyle="1" w:styleId="Heading1Char">
    <w:name w:val="Heading 1 Char"/>
    <w:basedOn w:val="DefaultParagraphFont"/>
    <w:link w:val="Heading1"/>
    <w:uiPriority w:val="9"/>
    <w:rsid w:val="001B3A34"/>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1B3A3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B3A3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B3A3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B3A3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B3A3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B3A3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B3A3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B3A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B3A3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B3A3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B3A34"/>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1B3A34"/>
    <w:pPr>
      <w:spacing w:after="0" w:line="240" w:lineRule="auto"/>
    </w:pPr>
  </w:style>
  <w:style w:type="paragraph" w:styleId="Quote">
    <w:name w:val="Quote"/>
    <w:basedOn w:val="Normal"/>
    <w:next w:val="Normal"/>
    <w:link w:val="QuoteChar"/>
    <w:uiPriority w:val="29"/>
    <w:qFormat/>
    <w:rsid w:val="001B3A34"/>
    <w:pPr>
      <w:spacing w:before="200" w:after="0"/>
      <w:ind w:left="360" w:right="360"/>
    </w:pPr>
    <w:rPr>
      <w:i/>
      <w:iCs/>
    </w:rPr>
  </w:style>
  <w:style w:type="character" w:customStyle="1" w:styleId="QuoteChar">
    <w:name w:val="Quote Char"/>
    <w:basedOn w:val="DefaultParagraphFont"/>
    <w:link w:val="Quote"/>
    <w:uiPriority w:val="29"/>
    <w:rsid w:val="001B3A34"/>
    <w:rPr>
      <w:i/>
      <w:iCs/>
    </w:rPr>
  </w:style>
  <w:style w:type="paragraph" w:styleId="IntenseQuote">
    <w:name w:val="Intense Quote"/>
    <w:basedOn w:val="Normal"/>
    <w:next w:val="Normal"/>
    <w:link w:val="IntenseQuoteChar"/>
    <w:uiPriority w:val="30"/>
    <w:qFormat/>
    <w:rsid w:val="001B3A3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B3A34"/>
    <w:rPr>
      <w:b/>
      <w:bCs/>
      <w:i/>
      <w:iCs/>
    </w:rPr>
  </w:style>
  <w:style w:type="character" w:styleId="SubtleEmphasis">
    <w:name w:val="Subtle Emphasis"/>
    <w:uiPriority w:val="19"/>
    <w:qFormat/>
    <w:rsid w:val="001B3A34"/>
    <w:rPr>
      <w:i/>
      <w:iCs/>
    </w:rPr>
  </w:style>
  <w:style w:type="character" w:styleId="IntenseEmphasis">
    <w:name w:val="Intense Emphasis"/>
    <w:uiPriority w:val="21"/>
    <w:qFormat/>
    <w:rsid w:val="001B3A34"/>
    <w:rPr>
      <w:b/>
      <w:bCs/>
    </w:rPr>
  </w:style>
  <w:style w:type="character" w:styleId="SubtleReference">
    <w:name w:val="Subtle Reference"/>
    <w:uiPriority w:val="31"/>
    <w:qFormat/>
    <w:rsid w:val="001B3A34"/>
    <w:rPr>
      <w:smallCaps/>
    </w:rPr>
  </w:style>
  <w:style w:type="character" w:styleId="IntenseReference">
    <w:name w:val="Intense Reference"/>
    <w:uiPriority w:val="32"/>
    <w:qFormat/>
    <w:rsid w:val="001B3A34"/>
    <w:rPr>
      <w:smallCaps/>
      <w:spacing w:val="5"/>
      <w:u w:val="single"/>
    </w:rPr>
  </w:style>
  <w:style w:type="character" w:styleId="BookTitle">
    <w:name w:val="Book Title"/>
    <w:uiPriority w:val="33"/>
    <w:qFormat/>
    <w:rsid w:val="001B3A34"/>
    <w:rPr>
      <w:i/>
      <w:iCs/>
      <w:smallCaps/>
      <w:spacing w:val="5"/>
    </w:rPr>
  </w:style>
  <w:style w:type="paragraph" w:styleId="TOCHeading">
    <w:name w:val="TOC Heading"/>
    <w:basedOn w:val="Heading1"/>
    <w:next w:val="Normal"/>
    <w:uiPriority w:val="39"/>
    <w:semiHidden/>
    <w:unhideWhenUsed/>
    <w:qFormat/>
    <w:rsid w:val="001B3A34"/>
    <w:pPr>
      <w:outlineLvl w:val="9"/>
    </w:pPr>
    <w:rPr>
      <w:lang w:bidi="en-US"/>
    </w:rPr>
  </w:style>
  <w:style w:type="paragraph" w:styleId="TOC1">
    <w:name w:val="toc 1"/>
    <w:basedOn w:val="Normal"/>
    <w:next w:val="Normal"/>
    <w:autoRedefine/>
    <w:uiPriority w:val="39"/>
    <w:unhideWhenUsed/>
    <w:rsid w:val="001B3A34"/>
    <w:pPr>
      <w:spacing w:after="100"/>
    </w:pPr>
  </w:style>
  <w:style w:type="paragraph" w:styleId="TOC2">
    <w:name w:val="toc 2"/>
    <w:basedOn w:val="Normal"/>
    <w:next w:val="Normal"/>
    <w:autoRedefine/>
    <w:uiPriority w:val="39"/>
    <w:unhideWhenUsed/>
    <w:rsid w:val="001B3A34"/>
    <w:pPr>
      <w:spacing w:after="100"/>
      <w:ind w:left="220"/>
    </w:pPr>
  </w:style>
  <w:style w:type="character" w:styleId="FollowedHyperlink">
    <w:name w:val="FollowedHyperlink"/>
    <w:basedOn w:val="DefaultParagraphFont"/>
    <w:uiPriority w:val="99"/>
    <w:semiHidden/>
    <w:unhideWhenUsed/>
    <w:rsid w:val="00CF22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59129">
      <w:bodyDiv w:val="1"/>
      <w:marLeft w:val="0"/>
      <w:marRight w:val="0"/>
      <w:marTop w:val="0"/>
      <w:marBottom w:val="0"/>
      <w:divBdr>
        <w:top w:val="none" w:sz="0" w:space="0" w:color="auto"/>
        <w:left w:val="none" w:sz="0" w:space="0" w:color="auto"/>
        <w:bottom w:val="none" w:sz="0" w:space="0" w:color="auto"/>
        <w:right w:val="none" w:sz="0" w:space="0" w:color="auto"/>
      </w:divBdr>
    </w:div>
    <w:div w:id="802962288">
      <w:bodyDiv w:val="1"/>
      <w:marLeft w:val="0"/>
      <w:marRight w:val="0"/>
      <w:marTop w:val="0"/>
      <w:marBottom w:val="0"/>
      <w:divBdr>
        <w:top w:val="none" w:sz="0" w:space="0" w:color="auto"/>
        <w:left w:val="none" w:sz="0" w:space="0" w:color="auto"/>
        <w:bottom w:val="none" w:sz="0" w:space="0" w:color="auto"/>
        <w:right w:val="none" w:sz="0" w:space="0" w:color="auto"/>
      </w:divBdr>
    </w:div>
    <w:div w:id="874657946">
      <w:bodyDiv w:val="1"/>
      <w:marLeft w:val="0"/>
      <w:marRight w:val="0"/>
      <w:marTop w:val="0"/>
      <w:marBottom w:val="0"/>
      <w:divBdr>
        <w:top w:val="none" w:sz="0" w:space="0" w:color="auto"/>
        <w:left w:val="none" w:sz="0" w:space="0" w:color="auto"/>
        <w:bottom w:val="none" w:sz="0" w:space="0" w:color="auto"/>
        <w:right w:val="none" w:sz="0" w:space="0" w:color="auto"/>
      </w:divBdr>
    </w:div>
    <w:div w:id="989097737">
      <w:bodyDiv w:val="1"/>
      <w:marLeft w:val="0"/>
      <w:marRight w:val="0"/>
      <w:marTop w:val="0"/>
      <w:marBottom w:val="0"/>
      <w:divBdr>
        <w:top w:val="none" w:sz="0" w:space="0" w:color="auto"/>
        <w:left w:val="none" w:sz="0" w:space="0" w:color="auto"/>
        <w:bottom w:val="none" w:sz="0" w:space="0" w:color="auto"/>
        <w:right w:val="none" w:sz="0" w:space="0" w:color="auto"/>
      </w:divBdr>
      <w:divsChild>
        <w:div w:id="1537425914">
          <w:marLeft w:val="0"/>
          <w:marRight w:val="0"/>
          <w:marTop w:val="100"/>
          <w:marBottom w:val="100"/>
          <w:divBdr>
            <w:top w:val="none" w:sz="0" w:space="0" w:color="auto"/>
            <w:left w:val="single" w:sz="6" w:space="15" w:color="D7D7D7"/>
            <w:bottom w:val="none" w:sz="0" w:space="0" w:color="auto"/>
            <w:right w:val="single" w:sz="6" w:space="15" w:color="D7D7D7"/>
          </w:divBdr>
          <w:divsChild>
            <w:div w:id="1103768228">
              <w:marLeft w:val="0"/>
              <w:marRight w:val="0"/>
              <w:marTop w:val="0"/>
              <w:marBottom w:val="0"/>
              <w:divBdr>
                <w:top w:val="none" w:sz="0" w:space="0" w:color="auto"/>
                <w:left w:val="none" w:sz="0" w:space="0" w:color="auto"/>
                <w:bottom w:val="none" w:sz="0" w:space="0" w:color="auto"/>
                <w:right w:val="none" w:sz="0" w:space="0" w:color="auto"/>
              </w:divBdr>
              <w:divsChild>
                <w:div w:id="1681159628">
                  <w:marLeft w:val="0"/>
                  <w:marRight w:val="0"/>
                  <w:marTop w:val="0"/>
                  <w:marBottom w:val="0"/>
                  <w:divBdr>
                    <w:top w:val="none" w:sz="0" w:space="0" w:color="auto"/>
                    <w:left w:val="none" w:sz="0" w:space="0" w:color="auto"/>
                    <w:bottom w:val="none" w:sz="0" w:space="0" w:color="auto"/>
                    <w:right w:val="none" w:sz="0" w:space="0" w:color="auto"/>
                  </w:divBdr>
                  <w:divsChild>
                    <w:div w:id="1610576472">
                      <w:marLeft w:val="0"/>
                      <w:marRight w:val="0"/>
                      <w:marTop w:val="0"/>
                      <w:marBottom w:val="0"/>
                      <w:divBdr>
                        <w:top w:val="none" w:sz="0" w:space="0" w:color="auto"/>
                        <w:left w:val="none" w:sz="0" w:space="0" w:color="auto"/>
                        <w:bottom w:val="none" w:sz="0" w:space="0" w:color="auto"/>
                        <w:right w:val="none" w:sz="0" w:space="0" w:color="auto"/>
                      </w:divBdr>
                      <w:divsChild>
                        <w:div w:id="1207336688">
                          <w:marLeft w:val="0"/>
                          <w:marRight w:val="0"/>
                          <w:marTop w:val="0"/>
                          <w:marBottom w:val="0"/>
                          <w:divBdr>
                            <w:top w:val="none" w:sz="0" w:space="0" w:color="auto"/>
                            <w:left w:val="none" w:sz="0" w:space="0" w:color="auto"/>
                            <w:bottom w:val="none" w:sz="0" w:space="0" w:color="auto"/>
                            <w:right w:val="none" w:sz="0" w:space="0" w:color="auto"/>
                          </w:divBdr>
                        </w:div>
                      </w:divsChild>
                    </w:div>
                    <w:div w:id="688876184">
                      <w:marLeft w:val="0"/>
                      <w:marRight w:val="0"/>
                      <w:marTop w:val="0"/>
                      <w:marBottom w:val="0"/>
                      <w:divBdr>
                        <w:top w:val="none" w:sz="0" w:space="0" w:color="auto"/>
                        <w:left w:val="none" w:sz="0" w:space="0" w:color="auto"/>
                        <w:bottom w:val="none" w:sz="0" w:space="0" w:color="auto"/>
                        <w:right w:val="none" w:sz="0" w:space="0" w:color="auto"/>
                      </w:divBdr>
                      <w:divsChild>
                        <w:div w:id="1261137064">
                          <w:marLeft w:val="0"/>
                          <w:marRight w:val="0"/>
                          <w:marTop w:val="0"/>
                          <w:marBottom w:val="0"/>
                          <w:divBdr>
                            <w:top w:val="none" w:sz="0" w:space="0" w:color="auto"/>
                            <w:left w:val="none" w:sz="0" w:space="0" w:color="auto"/>
                            <w:bottom w:val="none" w:sz="0" w:space="0" w:color="auto"/>
                            <w:right w:val="none" w:sz="0" w:space="0" w:color="auto"/>
                          </w:divBdr>
                        </w:div>
                        <w:div w:id="300841375">
                          <w:marLeft w:val="0"/>
                          <w:marRight w:val="0"/>
                          <w:marTop w:val="0"/>
                          <w:marBottom w:val="0"/>
                          <w:divBdr>
                            <w:top w:val="none" w:sz="0" w:space="0" w:color="auto"/>
                            <w:left w:val="none" w:sz="0" w:space="0" w:color="auto"/>
                            <w:bottom w:val="none" w:sz="0" w:space="0" w:color="auto"/>
                            <w:right w:val="none" w:sz="0" w:space="0" w:color="auto"/>
                          </w:divBdr>
                        </w:div>
                        <w:div w:id="19481235">
                          <w:marLeft w:val="0"/>
                          <w:marRight w:val="0"/>
                          <w:marTop w:val="0"/>
                          <w:marBottom w:val="0"/>
                          <w:divBdr>
                            <w:top w:val="none" w:sz="0" w:space="0" w:color="auto"/>
                            <w:left w:val="none" w:sz="0" w:space="0" w:color="auto"/>
                            <w:bottom w:val="none" w:sz="0" w:space="0" w:color="auto"/>
                            <w:right w:val="none" w:sz="0" w:space="0" w:color="auto"/>
                          </w:divBdr>
                        </w:div>
                        <w:div w:id="569190840">
                          <w:marLeft w:val="0"/>
                          <w:marRight w:val="0"/>
                          <w:marTop w:val="0"/>
                          <w:marBottom w:val="0"/>
                          <w:divBdr>
                            <w:top w:val="none" w:sz="0" w:space="0" w:color="auto"/>
                            <w:left w:val="none" w:sz="0" w:space="0" w:color="auto"/>
                            <w:bottom w:val="none" w:sz="0" w:space="0" w:color="auto"/>
                            <w:right w:val="none" w:sz="0" w:space="0" w:color="auto"/>
                          </w:divBdr>
                        </w:div>
                        <w:div w:id="350880959">
                          <w:marLeft w:val="0"/>
                          <w:marRight w:val="0"/>
                          <w:marTop w:val="0"/>
                          <w:marBottom w:val="0"/>
                          <w:divBdr>
                            <w:top w:val="none" w:sz="0" w:space="0" w:color="auto"/>
                            <w:left w:val="none" w:sz="0" w:space="0" w:color="auto"/>
                            <w:bottom w:val="none" w:sz="0" w:space="0" w:color="auto"/>
                            <w:right w:val="none" w:sz="0" w:space="0" w:color="auto"/>
                          </w:divBdr>
                        </w:div>
                        <w:div w:id="516887173">
                          <w:marLeft w:val="0"/>
                          <w:marRight w:val="0"/>
                          <w:marTop w:val="0"/>
                          <w:marBottom w:val="0"/>
                          <w:divBdr>
                            <w:top w:val="none" w:sz="0" w:space="0" w:color="auto"/>
                            <w:left w:val="none" w:sz="0" w:space="0" w:color="auto"/>
                            <w:bottom w:val="none" w:sz="0" w:space="0" w:color="auto"/>
                            <w:right w:val="none" w:sz="0" w:space="0" w:color="auto"/>
                          </w:divBdr>
                        </w:div>
                        <w:div w:id="175729154">
                          <w:marLeft w:val="0"/>
                          <w:marRight w:val="0"/>
                          <w:marTop w:val="0"/>
                          <w:marBottom w:val="0"/>
                          <w:divBdr>
                            <w:top w:val="none" w:sz="0" w:space="0" w:color="auto"/>
                            <w:left w:val="none" w:sz="0" w:space="0" w:color="auto"/>
                            <w:bottom w:val="none" w:sz="0" w:space="0" w:color="auto"/>
                            <w:right w:val="none" w:sz="0" w:space="0" w:color="auto"/>
                          </w:divBdr>
                        </w:div>
                        <w:div w:id="1748384299">
                          <w:marLeft w:val="0"/>
                          <w:marRight w:val="0"/>
                          <w:marTop w:val="0"/>
                          <w:marBottom w:val="0"/>
                          <w:divBdr>
                            <w:top w:val="none" w:sz="0" w:space="0" w:color="auto"/>
                            <w:left w:val="none" w:sz="0" w:space="0" w:color="auto"/>
                            <w:bottom w:val="none" w:sz="0" w:space="0" w:color="auto"/>
                            <w:right w:val="none" w:sz="0" w:space="0" w:color="auto"/>
                          </w:divBdr>
                        </w:div>
                        <w:div w:id="759109348">
                          <w:marLeft w:val="0"/>
                          <w:marRight w:val="0"/>
                          <w:marTop w:val="0"/>
                          <w:marBottom w:val="0"/>
                          <w:divBdr>
                            <w:top w:val="none" w:sz="0" w:space="0" w:color="auto"/>
                            <w:left w:val="none" w:sz="0" w:space="0" w:color="auto"/>
                            <w:bottom w:val="none" w:sz="0" w:space="0" w:color="auto"/>
                            <w:right w:val="none" w:sz="0" w:space="0" w:color="auto"/>
                          </w:divBdr>
                        </w:div>
                        <w:div w:id="1091774318">
                          <w:marLeft w:val="0"/>
                          <w:marRight w:val="0"/>
                          <w:marTop w:val="0"/>
                          <w:marBottom w:val="0"/>
                          <w:divBdr>
                            <w:top w:val="none" w:sz="0" w:space="0" w:color="auto"/>
                            <w:left w:val="none" w:sz="0" w:space="0" w:color="auto"/>
                            <w:bottom w:val="none" w:sz="0" w:space="0" w:color="auto"/>
                            <w:right w:val="none" w:sz="0" w:space="0" w:color="auto"/>
                          </w:divBdr>
                        </w:div>
                        <w:div w:id="1021397162">
                          <w:marLeft w:val="0"/>
                          <w:marRight w:val="0"/>
                          <w:marTop w:val="0"/>
                          <w:marBottom w:val="0"/>
                          <w:divBdr>
                            <w:top w:val="none" w:sz="0" w:space="0" w:color="auto"/>
                            <w:left w:val="none" w:sz="0" w:space="0" w:color="auto"/>
                            <w:bottom w:val="none" w:sz="0" w:space="0" w:color="auto"/>
                            <w:right w:val="none" w:sz="0" w:space="0" w:color="auto"/>
                          </w:divBdr>
                        </w:div>
                        <w:div w:id="1301157799">
                          <w:marLeft w:val="0"/>
                          <w:marRight w:val="0"/>
                          <w:marTop w:val="0"/>
                          <w:marBottom w:val="0"/>
                          <w:divBdr>
                            <w:top w:val="none" w:sz="0" w:space="0" w:color="auto"/>
                            <w:left w:val="none" w:sz="0" w:space="0" w:color="auto"/>
                            <w:bottom w:val="none" w:sz="0" w:space="0" w:color="auto"/>
                            <w:right w:val="none" w:sz="0" w:space="0" w:color="auto"/>
                          </w:divBdr>
                        </w:div>
                        <w:div w:id="2137944224">
                          <w:marLeft w:val="0"/>
                          <w:marRight w:val="0"/>
                          <w:marTop w:val="0"/>
                          <w:marBottom w:val="0"/>
                          <w:divBdr>
                            <w:top w:val="none" w:sz="0" w:space="0" w:color="auto"/>
                            <w:left w:val="none" w:sz="0" w:space="0" w:color="auto"/>
                            <w:bottom w:val="none" w:sz="0" w:space="0" w:color="auto"/>
                            <w:right w:val="none" w:sz="0" w:space="0" w:color="auto"/>
                          </w:divBdr>
                        </w:div>
                        <w:div w:id="1524129834">
                          <w:marLeft w:val="0"/>
                          <w:marRight w:val="0"/>
                          <w:marTop w:val="0"/>
                          <w:marBottom w:val="0"/>
                          <w:divBdr>
                            <w:top w:val="none" w:sz="0" w:space="0" w:color="auto"/>
                            <w:left w:val="none" w:sz="0" w:space="0" w:color="auto"/>
                            <w:bottom w:val="none" w:sz="0" w:space="0" w:color="auto"/>
                            <w:right w:val="none" w:sz="0" w:space="0" w:color="auto"/>
                          </w:divBdr>
                        </w:div>
                        <w:div w:id="1275206520">
                          <w:marLeft w:val="0"/>
                          <w:marRight w:val="0"/>
                          <w:marTop w:val="0"/>
                          <w:marBottom w:val="0"/>
                          <w:divBdr>
                            <w:top w:val="none" w:sz="0" w:space="0" w:color="auto"/>
                            <w:left w:val="none" w:sz="0" w:space="0" w:color="auto"/>
                            <w:bottom w:val="none" w:sz="0" w:space="0" w:color="auto"/>
                            <w:right w:val="none" w:sz="0" w:space="0" w:color="auto"/>
                          </w:divBdr>
                        </w:div>
                        <w:div w:id="1348016814">
                          <w:marLeft w:val="0"/>
                          <w:marRight w:val="0"/>
                          <w:marTop w:val="0"/>
                          <w:marBottom w:val="0"/>
                          <w:divBdr>
                            <w:top w:val="none" w:sz="0" w:space="0" w:color="auto"/>
                            <w:left w:val="none" w:sz="0" w:space="0" w:color="auto"/>
                            <w:bottom w:val="none" w:sz="0" w:space="0" w:color="auto"/>
                            <w:right w:val="none" w:sz="0" w:space="0" w:color="auto"/>
                          </w:divBdr>
                        </w:div>
                        <w:div w:id="204148205">
                          <w:marLeft w:val="0"/>
                          <w:marRight w:val="0"/>
                          <w:marTop w:val="0"/>
                          <w:marBottom w:val="0"/>
                          <w:divBdr>
                            <w:top w:val="none" w:sz="0" w:space="0" w:color="auto"/>
                            <w:left w:val="none" w:sz="0" w:space="0" w:color="auto"/>
                            <w:bottom w:val="none" w:sz="0" w:space="0" w:color="auto"/>
                            <w:right w:val="none" w:sz="0" w:space="0" w:color="auto"/>
                          </w:divBdr>
                        </w:div>
                        <w:div w:id="1531380667">
                          <w:marLeft w:val="0"/>
                          <w:marRight w:val="0"/>
                          <w:marTop w:val="0"/>
                          <w:marBottom w:val="0"/>
                          <w:divBdr>
                            <w:top w:val="none" w:sz="0" w:space="0" w:color="auto"/>
                            <w:left w:val="none" w:sz="0" w:space="0" w:color="auto"/>
                            <w:bottom w:val="none" w:sz="0" w:space="0" w:color="auto"/>
                            <w:right w:val="none" w:sz="0" w:space="0" w:color="auto"/>
                          </w:divBdr>
                        </w:div>
                        <w:div w:id="322243764">
                          <w:marLeft w:val="0"/>
                          <w:marRight w:val="0"/>
                          <w:marTop w:val="0"/>
                          <w:marBottom w:val="0"/>
                          <w:divBdr>
                            <w:top w:val="none" w:sz="0" w:space="0" w:color="auto"/>
                            <w:left w:val="none" w:sz="0" w:space="0" w:color="auto"/>
                            <w:bottom w:val="none" w:sz="0" w:space="0" w:color="auto"/>
                            <w:right w:val="none" w:sz="0" w:space="0" w:color="auto"/>
                          </w:divBdr>
                        </w:div>
                        <w:div w:id="1784113272">
                          <w:marLeft w:val="0"/>
                          <w:marRight w:val="0"/>
                          <w:marTop w:val="0"/>
                          <w:marBottom w:val="0"/>
                          <w:divBdr>
                            <w:top w:val="none" w:sz="0" w:space="0" w:color="auto"/>
                            <w:left w:val="none" w:sz="0" w:space="0" w:color="auto"/>
                            <w:bottom w:val="none" w:sz="0" w:space="0" w:color="auto"/>
                            <w:right w:val="none" w:sz="0" w:space="0" w:color="auto"/>
                          </w:divBdr>
                        </w:div>
                        <w:div w:id="1929920555">
                          <w:marLeft w:val="0"/>
                          <w:marRight w:val="0"/>
                          <w:marTop w:val="0"/>
                          <w:marBottom w:val="0"/>
                          <w:divBdr>
                            <w:top w:val="none" w:sz="0" w:space="0" w:color="auto"/>
                            <w:left w:val="none" w:sz="0" w:space="0" w:color="auto"/>
                            <w:bottom w:val="none" w:sz="0" w:space="0" w:color="auto"/>
                            <w:right w:val="none" w:sz="0" w:space="0" w:color="auto"/>
                          </w:divBdr>
                        </w:div>
                        <w:div w:id="1494948920">
                          <w:marLeft w:val="0"/>
                          <w:marRight w:val="0"/>
                          <w:marTop w:val="0"/>
                          <w:marBottom w:val="0"/>
                          <w:divBdr>
                            <w:top w:val="none" w:sz="0" w:space="0" w:color="auto"/>
                            <w:left w:val="none" w:sz="0" w:space="0" w:color="auto"/>
                            <w:bottom w:val="none" w:sz="0" w:space="0" w:color="auto"/>
                            <w:right w:val="none" w:sz="0" w:space="0" w:color="auto"/>
                          </w:divBdr>
                        </w:div>
                        <w:div w:id="447361235">
                          <w:marLeft w:val="0"/>
                          <w:marRight w:val="0"/>
                          <w:marTop w:val="0"/>
                          <w:marBottom w:val="0"/>
                          <w:divBdr>
                            <w:top w:val="none" w:sz="0" w:space="0" w:color="auto"/>
                            <w:left w:val="none" w:sz="0" w:space="0" w:color="auto"/>
                            <w:bottom w:val="none" w:sz="0" w:space="0" w:color="auto"/>
                            <w:right w:val="none" w:sz="0" w:space="0" w:color="auto"/>
                          </w:divBdr>
                        </w:div>
                        <w:div w:id="802892782">
                          <w:marLeft w:val="0"/>
                          <w:marRight w:val="0"/>
                          <w:marTop w:val="0"/>
                          <w:marBottom w:val="0"/>
                          <w:divBdr>
                            <w:top w:val="none" w:sz="0" w:space="0" w:color="auto"/>
                            <w:left w:val="none" w:sz="0" w:space="0" w:color="auto"/>
                            <w:bottom w:val="none" w:sz="0" w:space="0" w:color="auto"/>
                            <w:right w:val="none" w:sz="0" w:space="0" w:color="auto"/>
                          </w:divBdr>
                        </w:div>
                        <w:div w:id="1638797456">
                          <w:marLeft w:val="0"/>
                          <w:marRight w:val="0"/>
                          <w:marTop w:val="0"/>
                          <w:marBottom w:val="0"/>
                          <w:divBdr>
                            <w:top w:val="none" w:sz="0" w:space="0" w:color="auto"/>
                            <w:left w:val="none" w:sz="0" w:space="0" w:color="auto"/>
                            <w:bottom w:val="none" w:sz="0" w:space="0" w:color="auto"/>
                            <w:right w:val="none" w:sz="0" w:space="0" w:color="auto"/>
                          </w:divBdr>
                        </w:div>
                        <w:div w:id="1995988989">
                          <w:marLeft w:val="0"/>
                          <w:marRight w:val="0"/>
                          <w:marTop w:val="0"/>
                          <w:marBottom w:val="0"/>
                          <w:divBdr>
                            <w:top w:val="none" w:sz="0" w:space="0" w:color="auto"/>
                            <w:left w:val="none" w:sz="0" w:space="0" w:color="auto"/>
                            <w:bottom w:val="none" w:sz="0" w:space="0" w:color="auto"/>
                            <w:right w:val="none" w:sz="0" w:space="0" w:color="auto"/>
                          </w:divBdr>
                        </w:div>
                        <w:div w:id="319775607">
                          <w:marLeft w:val="0"/>
                          <w:marRight w:val="0"/>
                          <w:marTop w:val="0"/>
                          <w:marBottom w:val="0"/>
                          <w:divBdr>
                            <w:top w:val="none" w:sz="0" w:space="0" w:color="auto"/>
                            <w:left w:val="none" w:sz="0" w:space="0" w:color="auto"/>
                            <w:bottom w:val="none" w:sz="0" w:space="0" w:color="auto"/>
                            <w:right w:val="none" w:sz="0" w:space="0" w:color="auto"/>
                          </w:divBdr>
                        </w:div>
                        <w:div w:id="20750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921418">
      <w:bodyDiv w:val="1"/>
      <w:marLeft w:val="0"/>
      <w:marRight w:val="0"/>
      <w:marTop w:val="0"/>
      <w:marBottom w:val="0"/>
      <w:divBdr>
        <w:top w:val="none" w:sz="0" w:space="0" w:color="auto"/>
        <w:left w:val="none" w:sz="0" w:space="0" w:color="auto"/>
        <w:bottom w:val="none" w:sz="0" w:space="0" w:color="auto"/>
        <w:right w:val="none" w:sz="0" w:space="0" w:color="auto"/>
      </w:divBdr>
    </w:div>
    <w:div w:id="1544974324">
      <w:bodyDiv w:val="1"/>
      <w:marLeft w:val="0"/>
      <w:marRight w:val="0"/>
      <w:marTop w:val="0"/>
      <w:marBottom w:val="0"/>
      <w:divBdr>
        <w:top w:val="none" w:sz="0" w:space="0" w:color="auto"/>
        <w:left w:val="none" w:sz="0" w:space="0" w:color="auto"/>
        <w:bottom w:val="none" w:sz="0" w:space="0" w:color="auto"/>
        <w:right w:val="none" w:sz="0" w:space="0" w:color="auto"/>
      </w:divBdr>
    </w:div>
    <w:div w:id="1969580085">
      <w:bodyDiv w:val="1"/>
      <w:marLeft w:val="0"/>
      <w:marRight w:val="0"/>
      <w:marTop w:val="0"/>
      <w:marBottom w:val="0"/>
      <w:divBdr>
        <w:top w:val="none" w:sz="0" w:space="0" w:color="auto"/>
        <w:left w:val="none" w:sz="0" w:space="0" w:color="auto"/>
        <w:bottom w:val="none" w:sz="0" w:space="0" w:color="auto"/>
        <w:right w:val="none" w:sz="0" w:space="0" w:color="auto"/>
      </w:divBdr>
    </w:div>
    <w:div w:id="2081367227">
      <w:bodyDiv w:val="1"/>
      <w:marLeft w:val="0"/>
      <w:marRight w:val="0"/>
      <w:marTop w:val="0"/>
      <w:marBottom w:val="0"/>
      <w:divBdr>
        <w:top w:val="none" w:sz="0" w:space="0" w:color="auto"/>
        <w:left w:val="none" w:sz="0" w:space="0" w:color="auto"/>
        <w:bottom w:val="none" w:sz="0" w:space="0" w:color="auto"/>
        <w:right w:val="none" w:sz="0" w:space="0" w:color="auto"/>
      </w:divBdr>
    </w:div>
    <w:div w:id="21466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bibplus.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cbibplus.eu" TargetMode="External"/><Relationship Id="rId2" Type="http://schemas.openxmlformats.org/officeDocument/2006/relationships/hyperlink" Target="mailto:office@cbibplus.eu" TargetMode="External"/><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www.cbc-cro-bih.net/images/stories/Dokumenti/Brosura2015.pdf" TargetMode="External"/><Relationship Id="rId2" Type="http://schemas.openxmlformats.org/officeDocument/2006/relationships/hyperlink" Target="http://admin.interact-eu.net/downloads/9650/INTERACT_Capitalisation_Survey_s_background_paper_30_11_2015.pdf" TargetMode="External"/><Relationship Id="rId1" Type="http://schemas.openxmlformats.org/officeDocument/2006/relationships/hyperlink" Target="http://www.interact-eu.net/focus_on_etc_2014/survey_let_s_capitalise/512/20077" TargetMode="External"/><Relationship Id="rId5" Type="http://schemas.openxmlformats.org/officeDocument/2006/relationships/hyperlink" Target="http://www.southeast-europe.net/en/news_and_events/news/didseeprogrammefulfilitsmission" TargetMode="External"/><Relationship Id="rId4" Type="http://schemas.openxmlformats.org/officeDocument/2006/relationships/hyperlink" Target="http://ec.europa.eu/regional_policy/opendays/od2015/doc/OD2015_web.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5A091-F7A5-4D77-861D-84F2A532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4478</Words>
  <Characters>25531</Characters>
  <Application>Microsoft Office Word</Application>
  <DocSecurity>0</DocSecurity>
  <Lines>212</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IS</Company>
  <LinksUpToDate>false</LinksUpToDate>
  <CharactersWithSpaces>29950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Doko Ines</dc:creator>
  <cp:lastModifiedBy>aguaden</cp:lastModifiedBy>
  <cp:revision>5</cp:revision>
  <cp:lastPrinted>2016-03-01T08:40:00Z</cp:lastPrinted>
  <dcterms:created xsi:type="dcterms:W3CDTF">2016-10-26T08:07:00Z</dcterms:created>
  <dcterms:modified xsi:type="dcterms:W3CDTF">2017-10-11T14:02:00Z</dcterms:modified>
</cp:coreProperties>
</file>