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B1" w:rsidRPr="00316F9D" w:rsidRDefault="00DC4BB1" w:rsidP="003663E2">
      <w:pPr>
        <w:spacing w:after="0" w:line="240" w:lineRule="auto"/>
        <w:rPr>
          <w:rFonts w:ascii="Arial" w:hAnsi="Arial" w:cs="Arial"/>
          <w:sz w:val="40"/>
          <w:szCs w:val="40"/>
          <w:lang w:val="en-US"/>
        </w:rPr>
      </w:pPr>
    </w:p>
    <w:p w:rsidR="003663E2" w:rsidRPr="00316F9D" w:rsidRDefault="003663E2" w:rsidP="003663E2">
      <w:pPr>
        <w:spacing w:after="0" w:line="240" w:lineRule="auto"/>
        <w:rPr>
          <w:rFonts w:ascii="Arial" w:hAnsi="Arial" w:cs="Arial"/>
          <w:sz w:val="40"/>
          <w:szCs w:val="40"/>
          <w:lang w:val="en-US"/>
        </w:rPr>
      </w:pPr>
    </w:p>
    <w:p w:rsidR="003663E2" w:rsidRDefault="003663E2"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75164D" w:rsidRDefault="0075164D" w:rsidP="003663E2">
      <w:pPr>
        <w:spacing w:after="0" w:line="240" w:lineRule="auto"/>
        <w:rPr>
          <w:rFonts w:ascii="Arial" w:hAnsi="Arial" w:cs="Arial"/>
          <w:sz w:val="40"/>
          <w:szCs w:val="40"/>
          <w:lang w:val="en-US"/>
        </w:rPr>
      </w:pPr>
    </w:p>
    <w:p w:rsidR="0075164D" w:rsidRDefault="0075164D" w:rsidP="003663E2">
      <w:pPr>
        <w:spacing w:after="0" w:line="240" w:lineRule="auto"/>
        <w:rPr>
          <w:rFonts w:ascii="Arial" w:hAnsi="Arial" w:cs="Arial"/>
          <w:sz w:val="40"/>
          <w:szCs w:val="40"/>
          <w:lang w:val="en-US"/>
        </w:rPr>
      </w:pPr>
    </w:p>
    <w:p w:rsidR="00BC722F" w:rsidRDefault="00BC722F" w:rsidP="00316F9D">
      <w:pPr>
        <w:spacing w:after="0" w:line="240" w:lineRule="auto"/>
        <w:jc w:val="center"/>
        <w:rPr>
          <w:rFonts w:ascii="Arial" w:hAnsi="Arial" w:cs="Arial"/>
          <w:sz w:val="40"/>
          <w:szCs w:val="40"/>
          <w:lang w:val="en-US"/>
        </w:rPr>
      </w:pPr>
      <w:r>
        <w:rPr>
          <w:rFonts w:ascii="Arial" w:hAnsi="Arial" w:cs="Arial"/>
          <w:sz w:val="40"/>
          <w:szCs w:val="40"/>
          <w:lang w:val="en-US"/>
        </w:rPr>
        <w:t xml:space="preserve"> </w:t>
      </w:r>
    </w:p>
    <w:p w:rsidR="00A62B38" w:rsidRPr="00CC1CCA" w:rsidRDefault="00A62B38" w:rsidP="00316F9D">
      <w:pPr>
        <w:spacing w:after="0" w:line="240" w:lineRule="auto"/>
        <w:jc w:val="center"/>
        <w:rPr>
          <w:rFonts w:ascii="Arial" w:hAnsi="Arial" w:cs="Arial"/>
          <w:sz w:val="40"/>
          <w:szCs w:val="40"/>
          <w:lang w:val="en-US"/>
        </w:rPr>
      </w:pPr>
      <w:r w:rsidRPr="00CC1CCA">
        <w:rPr>
          <w:rFonts w:ascii="Arial" w:hAnsi="Arial" w:cs="Arial"/>
          <w:sz w:val="40"/>
          <w:szCs w:val="40"/>
          <w:lang w:val="en-US"/>
        </w:rPr>
        <w:t>G</w:t>
      </w:r>
      <w:r w:rsidR="00BC722F" w:rsidRPr="00CC1CCA">
        <w:rPr>
          <w:rFonts w:ascii="Arial" w:hAnsi="Arial" w:cs="Arial"/>
          <w:sz w:val="40"/>
          <w:szCs w:val="40"/>
          <w:lang w:val="en-US"/>
        </w:rPr>
        <w:t xml:space="preserve">uide </w:t>
      </w:r>
    </w:p>
    <w:p w:rsidR="00A62B38" w:rsidRPr="00CC1CCA" w:rsidRDefault="00BC722F" w:rsidP="00316F9D">
      <w:pPr>
        <w:spacing w:after="0" w:line="240" w:lineRule="auto"/>
        <w:jc w:val="center"/>
        <w:rPr>
          <w:rFonts w:ascii="Arial" w:hAnsi="Arial" w:cs="Arial"/>
          <w:sz w:val="40"/>
          <w:szCs w:val="40"/>
          <w:lang w:val="en-US"/>
        </w:rPr>
      </w:pPr>
      <w:r w:rsidRPr="00CC1CCA">
        <w:rPr>
          <w:rFonts w:ascii="Arial" w:hAnsi="Arial" w:cs="Arial"/>
          <w:sz w:val="40"/>
          <w:szCs w:val="40"/>
          <w:lang w:val="en-US"/>
        </w:rPr>
        <w:t xml:space="preserve">for the </w:t>
      </w:r>
      <w:r w:rsidR="00295237">
        <w:rPr>
          <w:rFonts w:ascii="Arial" w:hAnsi="Arial" w:cs="Arial"/>
          <w:sz w:val="40"/>
          <w:szCs w:val="40"/>
          <w:lang w:val="en-US"/>
        </w:rPr>
        <w:t>i</w:t>
      </w:r>
      <w:r w:rsidR="00A62B38" w:rsidRPr="00CC1CCA">
        <w:rPr>
          <w:rFonts w:ascii="Arial" w:hAnsi="Arial" w:cs="Arial"/>
          <w:sz w:val="40"/>
          <w:szCs w:val="40"/>
          <w:lang w:val="en-US"/>
        </w:rPr>
        <w:t xml:space="preserve">dentification, </w:t>
      </w:r>
    </w:p>
    <w:p w:rsidR="00A62B38" w:rsidRPr="00CC1CCA" w:rsidRDefault="00295237" w:rsidP="00316F9D">
      <w:pPr>
        <w:spacing w:after="0" w:line="240" w:lineRule="auto"/>
        <w:jc w:val="center"/>
        <w:rPr>
          <w:rFonts w:ascii="Arial" w:hAnsi="Arial" w:cs="Arial"/>
          <w:sz w:val="40"/>
          <w:szCs w:val="40"/>
          <w:lang w:val="en-US"/>
        </w:rPr>
      </w:pPr>
      <w:r>
        <w:rPr>
          <w:rFonts w:ascii="Arial" w:hAnsi="Arial" w:cs="Arial"/>
          <w:sz w:val="40"/>
          <w:szCs w:val="40"/>
          <w:lang w:val="en-US"/>
        </w:rPr>
        <w:t>selection and i</w:t>
      </w:r>
      <w:r w:rsidR="00A62B38" w:rsidRPr="00CC1CCA">
        <w:rPr>
          <w:rFonts w:ascii="Arial" w:hAnsi="Arial" w:cs="Arial"/>
          <w:sz w:val="40"/>
          <w:szCs w:val="40"/>
          <w:lang w:val="en-US"/>
        </w:rPr>
        <w:t xml:space="preserve">mplementation </w:t>
      </w:r>
    </w:p>
    <w:p w:rsidR="00A62B38" w:rsidRPr="00CC1CCA" w:rsidRDefault="00295237" w:rsidP="00316F9D">
      <w:pPr>
        <w:spacing w:after="0" w:line="240" w:lineRule="auto"/>
        <w:jc w:val="center"/>
        <w:rPr>
          <w:rFonts w:ascii="Arial" w:hAnsi="Arial" w:cs="Arial"/>
          <w:sz w:val="40"/>
          <w:szCs w:val="40"/>
          <w:lang w:val="en-US"/>
        </w:rPr>
      </w:pPr>
      <w:r>
        <w:rPr>
          <w:rFonts w:ascii="Arial" w:hAnsi="Arial" w:cs="Arial"/>
          <w:sz w:val="40"/>
          <w:szCs w:val="40"/>
          <w:lang w:val="en-US"/>
        </w:rPr>
        <w:t>of s</w:t>
      </w:r>
      <w:r w:rsidR="00A62B38" w:rsidRPr="00CC1CCA">
        <w:rPr>
          <w:rFonts w:ascii="Arial" w:hAnsi="Arial" w:cs="Arial"/>
          <w:sz w:val="40"/>
          <w:szCs w:val="40"/>
          <w:lang w:val="en-US"/>
        </w:rPr>
        <w:t>trategic</w:t>
      </w:r>
      <w:r w:rsidR="00BC722F" w:rsidRPr="00CC1CCA">
        <w:rPr>
          <w:rFonts w:ascii="Arial" w:hAnsi="Arial" w:cs="Arial"/>
          <w:sz w:val="40"/>
          <w:szCs w:val="40"/>
          <w:lang w:val="en-US"/>
        </w:rPr>
        <w:t xml:space="preserve"> projects </w:t>
      </w:r>
    </w:p>
    <w:p w:rsidR="00316F9D" w:rsidRPr="00316F9D" w:rsidRDefault="00BC722F" w:rsidP="00316F9D">
      <w:pPr>
        <w:spacing w:after="0" w:line="240" w:lineRule="auto"/>
        <w:jc w:val="center"/>
        <w:rPr>
          <w:rFonts w:ascii="Arial" w:hAnsi="Arial" w:cs="Arial"/>
          <w:sz w:val="40"/>
          <w:szCs w:val="40"/>
          <w:lang w:val="en-US"/>
        </w:rPr>
      </w:pPr>
      <w:r w:rsidRPr="00CC1CCA">
        <w:rPr>
          <w:rFonts w:ascii="Arial" w:hAnsi="Arial" w:cs="Arial"/>
          <w:sz w:val="40"/>
          <w:szCs w:val="40"/>
          <w:lang w:val="en-US"/>
        </w:rPr>
        <w:t>under IPA II CBC</w:t>
      </w:r>
    </w:p>
    <w:p w:rsidR="00316F9D" w:rsidRP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Pr="00EA7397" w:rsidRDefault="001F631F" w:rsidP="00316F9D">
      <w:pPr>
        <w:spacing w:after="0" w:line="240" w:lineRule="auto"/>
        <w:jc w:val="center"/>
        <w:rPr>
          <w:rFonts w:ascii="Arial" w:hAnsi="Arial" w:cs="Arial"/>
          <w:color w:val="FF0000"/>
          <w:sz w:val="24"/>
          <w:szCs w:val="24"/>
          <w:lang w:val="en-US"/>
        </w:rPr>
      </w:pPr>
      <w:r>
        <w:rPr>
          <w:rFonts w:ascii="Arial" w:hAnsi="Arial" w:cs="Arial"/>
          <w:color w:val="FF0000"/>
          <w:sz w:val="24"/>
          <w:szCs w:val="24"/>
          <w:lang w:val="en-US"/>
        </w:rPr>
        <w:t xml:space="preserve">Version of </w:t>
      </w:r>
      <w:r w:rsidR="003B21EA">
        <w:rPr>
          <w:rFonts w:ascii="Arial" w:hAnsi="Arial" w:cs="Arial"/>
          <w:color w:val="FF0000"/>
          <w:sz w:val="24"/>
          <w:szCs w:val="24"/>
          <w:lang w:val="en-US"/>
        </w:rPr>
        <w:t>23</w:t>
      </w:r>
      <w:r w:rsidR="00EA7397" w:rsidRPr="00EA7397">
        <w:rPr>
          <w:rFonts w:ascii="Arial" w:hAnsi="Arial" w:cs="Arial"/>
          <w:color w:val="FF0000"/>
          <w:sz w:val="24"/>
          <w:szCs w:val="24"/>
          <w:lang w:val="en-US"/>
        </w:rPr>
        <w:t xml:space="preserve"> </w:t>
      </w:r>
      <w:r w:rsidR="00DF6144">
        <w:rPr>
          <w:rFonts w:ascii="Arial" w:hAnsi="Arial" w:cs="Arial"/>
          <w:color w:val="FF0000"/>
          <w:sz w:val="24"/>
          <w:szCs w:val="24"/>
          <w:lang w:val="en-US"/>
        </w:rPr>
        <w:t>June</w:t>
      </w:r>
      <w:r w:rsidR="00EA7397" w:rsidRPr="00EA7397">
        <w:rPr>
          <w:rFonts w:ascii="Arial" w:hAnsi="Arial" w:cs="Arial"/>
          <w:color w:val="FF0000"/>
          <w:sz w:val="24"/>
          <w:szCs w:val="24"/>
          <w:lang w:val="en-US"/>
        </w:rPr>
        <w:t xml:space="preserve"> 2017</w:t>
      </w:r>
    </w:p>
    <w:p w:rsidR="00316F9D" w:rsidRDefault="00316F9D">
      <w:pPr>
        <w:rPr>
          <w:rFonts w:ascii="Arial" w:hAnsi="Arial" w:cs="Arial"/>
          <w:sz w:val="24"/>
          <w:szCs w:val="24"/>
          <w:lang w:val="en-US"/>
        </w:rPr>
      </w:pPr>
      <w:r>
        <w:rPr>
          <w:rFonts w:ascii="Arial" w:hAnsi="Arial" w:cs="Arial"/>
          <w:sz w:val="24"/>
          <w:szCs w:val="24"/>
          <w:lang w:val="en-US"/>
        </w:rPr>
        <w:br w:type="page"/>
      </w:r>
    </w:p>
    <w:sdt>
      <w:sdtPr>
        <w:rPr>
          <w:rFonts w:asciiTheme="minorHAnsi" w:eastAsiaTheme="minorHAnsi" w:hAnsiTheme="minorHAnsi" w:cstheme="minorBidi"/>
          <w:b w:val="0"/>
          <w:bCs w:val="0"/>
          <w:color w:val="auto"/>
          <w:sz w:val="22"/>
          <w:szCs w:val="22"/>
          <w:lang w:val="en-GB" w:eastAsia="en-US"/>
        </w:rPr>
        <w:id w:val="-1539269273"/>
        <w:docPartObj>
          <w:docPartGallery w:val="Table of Contents"/>
          <w:docPartUnique/>
        </w:docPartObj>
      </w:sdtPr>
      <w:sdtEndPr>
        <w:rPr>
          <w:noProof/>
        </w:rPr>
      </w:sdtEndPr>
      <w:sdtContent>
        <w:p w:rsidR="00CC1CCA" w:rsidRDefault="00CC1CCA">
          <w:pPr>
            <w:pStyle w:val="TOCHeading"/>
          </w:pPr>
          <w:r>
            <w:t>Table of Contents</w:t>
          </w:r>
        </w:p>
        <w:p w:rsidR="00CC1CCA" w:rsidRPr="00CC1CCA" w:rsidRDefault="00CC1CCA" w:rsidP="00CC1CCA">
          <w:pPr>
            <w:rPr>
              <w:lang w:val="en-US" w:eastAsia="ja-JP"/>
            </w:rPr>
          </w:pPr>
        </w:p>
        <w:p w:rsidR="00C6388A" w:rsidRDefault="00D25A2E">
          <w:pPr>
            <w:pStyle w:val="TOC1"/>
            <w:tabs>
              <w:tab w:val="right" w:leader="dot" w:pos="9016"/>
            </w:tabs>
            <w:rPr>
              <w:rFonts w:eastAsiaTheme="minorEastAsia"/>
              <w:noProof/>
              <w:lang w:val="en-US"/>
            </w:rPr>
          </w:pPr>
          <w:r w:rsidRPr="00D25A2E">
            <w:fldChar w:fldCharType="begin"/>
          </w:r>
          <w:r w:rsidR="00CC1CCA">
            <w:instrText xml:space="preserve"> TOC \o "1-3" \h \z \u </w:instrText>
          </w:r>
          <w:r w:rsidRPr="00D25A2E">
            <w:fldChar w:fldCharType="separate"/>
          </w:r>
          <w:hyperlink w:anchor="_Toc485980980" w:history="1">
            <w:r w:rsidR="00C6388A" w:rsidRPr="00B61B53">
              <w:rPr>
                <w:rStyle w:val="Hyperlink"/>
                <w:noProof/>
                <w:lang w:val="en-US"/>
              </w:rPr>
              <w:t>1. PURPOSE</w:t>
            </w:r>
            <w:r w:rsidR="00C6388A">
              <w:rPr>
                <w:noProof/>
                <w:webHidden/>
              </w:rPr>
              <w:tab/>
            </w:r>
            <w:r>
              <w:rPr>
                <w:noProof/>
                <w:webHidden/>
              </w:rPr>
              <w:fldChar w:fldCharType="begin"/>
            </w:r>
            <w:r w:rsidR="00C6388A">
              <w:rPr>
                <w:noProof/>
                <w:webHidden/>
              </w:rPr>
              <w:instrText xml:space="preserve"> PAGEREF _Toc485980980 \h </w:instrText>
            </w:r>
            <w:r>
              <w:rPr>
                <w:noProof/>
                <w:webHidden/>
              </w:rPr>
            </w:r>
            <w:r>
              <w:rPr>
                <w:noProof/>
                <w:webHidden/>
              </w:rPr>
              <w:fldChar w:fldCharType="separate"/>
            </w:r>
            <w:r w:rsidR="00C6388A">
              <w:rPr>
                <w:noProof/>
                <w:webHidden/>
              </w:rPr>
              <w:t>3</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1" w:history="1">
            <w:r w:rsidR="00C6388A" w:rsidRPr="00B61B53">
              <w:rPr>
                <w:rStyle w:val="Hyperlink"/>
                <w:noProof/>
                <w:lang w:val="en-US"/>
              </w:rPr>
              <w:t>2. LEGAL BACKGROUND</w:t>
            </w:r>
            <w:r w:rsidR="00C6388A">
              <w:rPr>
                <w:noProof/>
                <w:webHidden/>
              </w:rPr>
              <w:tab/>
            </w:r>
            <w:r>
              <w:rPr>
                <w:noProof/>
                <w:webHidden/>
              </w:rPr>
              <w:fldChar w:fldCharType="begin"/>
            </w:r>
            <w:r w:rsidR="00C6388A">
              <w:rPr>
                <w:noProof/>
                <w:webHidden/>
              </w:rPr>
              <w:instrText xml:space="preserve"> PAGEREF _Toc485980981 \h </w:instrText>
            </w:r>
            <w:r>
              <w:rPr>
                <w:noProof/>
                <w:webHidden/>
              </w:rPr>
            </w:r>
            <w:r>
              <w:rPr>
                <w:noProof/>
                <w:webHidden/>
              </w:rPr>
              <w:fldChar w:fldCharType="separate"/>
            </w:r>
            <w:r w:rsidR="00C6388A">
              <w:rPr>
                <w:noProof/>
                <w:webHidden/>
              </w:rPr>
              <w:t>4</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2" w:history="1">
            <w:r w:rsidR="00C6388A" w:rsidRPr="00B61B53">
              <w:rPr>
                <w:rStyle w:val="Hyperlink"/>
                <w:noProof/>
                <w:lang w:val="en-US"/>
              </w:rPr>
              <w:t>3. LESSONS LEARNT FROM IPA</w:t>
            </w:r>
            <w:r w:rsidR="00C6388A">
              <w:rPr>
                <w:noProof/>
                <w:webHidden/>
              </w:rPr>
              <w:tab/>
            </w:r>
            <w:r>
              <w:rPr>
                <w:noProof/>
                <w:webHidden/>
              </w:rPr>
              <w:fldChar w:fldCharType="begin"/>
            </w:r>
            <w:r w:rsidR="00C6388A">
              <w:rPr>
                <w:noProof/>
                <w:webHidden/>
              </w:rPr>
              <w:instrText xml:space="preserve"> PAGEREF _Toc485980982 \h </w:instrText>
            </w:r>
            <w:r>
              <w:rPr>
                <w:noProof/>
                <w:webHidden/>
              </w:rPr>
            </w:r>
            <w:r>
              <w:rPr>
                <w:noProof/>
                <w:webHidden/>
              </w:rPr>
              <w:fldChar w:fldCharType="separate"/>
            </w:r>
            <w:r w:rsidR="00C6388A">
              <w:rPr>
                <w:noProof/>
                <w:webHidden/>
              </w:rPr>
              <w:t>6</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83" w:history="1">
            <w:r w:rsidR="00C6388A" w:rsidRPr="00B61B53">
              <w:rPr>
                <w:rStyle w:val="Hyperlink"/>
                <w:noProof/>
              </w:rPr>
              <w:t>3.1 Definition</w:t>
            </w:r>
            <w:r w:rsidR="00C6388A">
              <w:rPr>
                <w:noProof/>
                <w:webHidden/>
              </w:rPr>
              <w:tab/>
            </w:r>
            <w:r>
              <w:rPr>
                <w:noProof/>
                <w:webHidden/>
              </w:rPr>
              <w:fldChar w:fldCharType="begin"/>
            </w:r>
            <w:r w:rsidR="00C6388A">
              <w:rPr>
                <w:noProof/>
                <w:webHidden/>
              </w:rPr>
              <w:instrText xml:space="preserve"> PAGEREF _Toc485980983 \h </w:instrText>
            </w:r>
            <w:r>
              <w:rPr>
                <w:noProof/>
                <w:webHidden/>
              </w:rPr>
            </w:r>
            <w:r>
              <w:rPr>
                <w:noProof/>
                <w:webHidden/>
              </w:rPr>
              <w:fldChar w:fldCharType="separate"/>
            </w:r>
            <w:r w:rsidR="00C6388A">
              <w:rPr>
                <w:noProof/>
                <w:webHidden/>
              </w:rPr>
              <w:t>6</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84" w:history="1">
            <w:r w:rsidR="00C6388A" w:rsidRPr="00B61B53">
              <w:rPr>
                <w:rStyle w:val="Hyperlink"/>
                <w:noProof/>
              </w:rPr>
              <w:t>3.2 Identification</w:t>
            </w:r>
            <w:r w:rsidR="00C6388A">
              <w:rPr>
                <w:noProof/>
                <w:webHidden/>
              </w:rPr>
              <w:tab/>
            </w:r>
            <w:r>
              <w:rPr>
                <w:noProof/>
                <w:webHidden/>
              </w:rPr>
              <w:fldChar w:fldCharType="begin"/>
            </w:r>
            <w:r w:rsidR="00C6388A">
              <w:rPr>
                <w:noProof/>
                <w:webHidden/>
              </w:rPr>
              <w:instrText xml:space="preserve"> PAGEREF _Toc485980984 \h </w:instrText>
            </w:r>
            <w:r>
              <w:rPr>
                <w:noProof/>
                <w:webHidden/>
              </w:rPr>
            </w:r>
            <w:r>
              <w:rPr>
                <w:noProof/>
                <w:webHidden/>
              </w:rPr>
              <w:fldChar w:fldCharType="separate"/>
            </w:r>
            <w:r w:rsidR="00C6388A">
              <w:rPr>
                <w:noProof/>
                <w:webHidden/>
              </w:rPr>
              <w:t>6</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85" w:history="1">
            <w:r w:rsidR="00C6388A" w:rsidRPr="00B61B53">
              <w:rPr>
                <w:rStyle w:val="Hyperlink"/>
                <w:noProof/>
              </w:rPr>
              <w:t>3.3 Experience so far</w:t>
            </w:r>
            <w:r w:rsidR="00C6388A">
              <w:rPr>
                <w:noProof/>
                <w:webHidden/>
              </w:rPr>
              <w:tab/>
            </w:r>
            <w:r>
              <w:rPr>
                <w:noProof/>
                <w:webHidden/>
              </w:rPr>
              <w:fldChar w:fldCharType="begin"/>
            </w:r>
            <w:r w:rsidR="00C6388A">
              <w:rPr>
                <w:noProof/>
                <w:webHidden/>
              </w:rPr>
              <w:instrText xml:space="preserve"> PAGEREF _Toc485980985 \h </w:instrText>
            </w:r>
            <w:r>
              <w:rPr>
                <w:noProof/>
                <w:webHidden/>
              </w:rPr>
            </w:r>
            <w:r>
              <w:rPr>
                <w:noProof/>
                <w:webHidden/>
              </w:rPr>
              <w:fldChar w:fldCharType="separate"/>
            </w:r>
            <w:r w:rsidR="00C6388A">
              <w:rPr>
                <w:noProof/>
                <w:webHidden/>
              </w:rPr>
              <w:t>7</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6" w:history="1">
            <w:r w:rsidR="00C6388A" w:rsidRPr="00B61B53">
              <w:rPr>
                <w:rStyle w:val="Hyperlink"/>
                <w:noProof/>
                <w:lang w:val="en-US"/>
              </w:rPr>
              <w:t>4. IDENTIFICATION AND SELECTION</w:t>
            </w:r>
            <w:r w:rsidR="00C6388A">
              <w:rPr>
                <w:noProof/>
                <w:webHidden/>
              </w:rPr>
              <w:tab/>
            </w:r>
            <w:r>
              <w:rPr>
                <w:noProof/>
                <w:webHidden/>
              </w:rPr>
              <w:fldChar w:fldCharType="begin"/>
            </w:r>
            <w:r w:rsidR="00C6388A">
              <w:rPr>
                <w:noProof/>
                <w:webHidden/>
              </w:rPr>
              <w:instrText xml:space="preserve"> PAGEREF _Toc485980986 \h </w:instrText>
            </w:r>
            <w:r>
              <w:rPr>
                <w:noProof/>
                <w:webHidden/>
              </w:rPr>
            </w:r>
            <w:r>
              <w:rPr>
                <w:noProof/>
                <w:webHidden/>
              </w:rPr>
              <w:fldChar w:fldCharType="separate"/>
            </w:r>
            <w:r w:rsidR="00C6388A">
              <w:rPr>
                <w:noProof/>
                <w:webHidden/>
              </w:rPr>
              <w:t>10</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7" w:history="1">
            <w:r w:rsidR="00C6388A" w:rsidRPr="00B61B53">
              <w:rPr>
                <w:rStyle w:val="Hyperlink"/>
                <w:noProof/>
                <w:lang w:val="en-US"/>
              </w:rPr>
              <w:t>5. PROCUREMENT OF SERVICES, SUPPLIES AND WORKS</w:t>
            </w:r>
            <w:r w:rsidR="00C6388A">
              <w:rPr>
                <w:noProof/>
                <w:webHidden/>
              </w:rPr>
              <w:tab/>
            </w:r>
            <w:r>
              <w:rPr>
                <w:noProof/>
                <w:webHidden/>
              </w:rPr>
              <w:fldChar w:fldCharType="begin"/>
            </w:r>
            <w:r w:rsidR="00C6388A">
              <w:rPr>
                <w:noProof/>
                <w:webHidden/>
              </w:rPr>
              <w:instrText xml:space="preserve"> PAGEREF _Toc485980987 \h </w:instrText>
            </w:r>
            <w:r>
              <w:rPr>
                <w:noProof/>
                <w:webHidden/>
              </w:rPr>
            </w:r>
            <w:r>
              <w:rPr>
                <w:noProof/>
                <w:webHidden/>
              </w:rPr>
              <w:fldChar w:fldCharType="separate"/>
            </w:r>
            <w:r w:rsidR="00C6388A">
              <w:rPr>
                <w:noProof/>
                <w:webHidden/>
              </w:rPr>
              <w:t>17</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8" w:history="1">
            <w:r w:rsidR="00C6388A" w:rsidRPr="00B61B53">
              <w:rPr>
                <w:rStyle w:val="Hyperlink"/>
                <w:noProof/>
                <w:lang w:val="en-US"/>
              </w:rPr>
              <w:t>6. MONITORING</w:t>
            </w:r>
            <w:r w:rsidR="00C6388A">
              <w:rPr>
                <w:noProof/>
                <w:webHidden/>
              </w:rPr>
              <w:tab/>
            </w:r>
            <w:r>
              <w:rPr>
                <w:noProof/>
                <w:webHidden/>
              </w:rPr>
              <w:fldChar w:fldCharType="begin"/>
            </w:r>
            <w:r w:rsidR="00C6388A">
              <w:rPr>
                <w:noProof/>
                <w:webHidden/>
              </w:rPr>
              <w:instrText xml:space="preserve"> PAGEREF _Toc485980988 \h </w:instrText>
            </w:r>
            <w:r>
              <w:rPr>
                <w:noProof/>
                <w:webHidden/>
              </w:rPr>
            </w:r>
            <w:r>
              <w:rPr>
                <w:noProof/>
                <w:webHidden/>
              </w:rPr>
              <w:fldChar w:fldCharType="separate"/>
            </w:r>
            <w:r w:rsidR="00C6388A">
              <w:rPr>
                <w:noProof/>
                <w:webHidden/>
              </w:rPr>
              <w:t>19</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89" w:history="1">
            <w:r w:rsidR="00C6388A" w:rsidRPr="00B61B53">
              <w:rPr>
                <w:rStyle w:val="Hyperlink"/>
                <w:noProof/>
              </w:rPr>
              <w:t>7. PUBLICITY AND VISIBILITY</w:t>
            </w:r>
            <w:r w:rsidR="00C6388A">
              <w:rPr>
                <w:noProof/>
                <w:webHidden/>
              </w:rPr>
              <w:tab/>
            </w:r>
            <w:r>
              <w:rPr>
                <w:noProof/>
                <w:webHidden/>
              </w:rPr>
              <w:fldChar w:fldCharType="begin"/>
            </w:r>
            <w:r w:rsidR="00C6388A">
              <w:rPr>
                <w:noProof/>
                <w:webHidden/>
              </w:rPr>
              <w:instrText xml:space="preserve"> PAGEREF _Toc485980989 \h </w:instrText>
            </w:r>
            <w:r>
              <w:rPr>
                <w:noProof/>
                <w:webHidden/>
              </w:rPr>
            </w:r>
            <w:r>
              <w:rPr>
                <w:noProof/>
                <w:webHidden/>
              </w:rPr>
              <w:fldChar w:fldCharType="separate"/>
            </w:r>
            <w:r w:rsidR="00C6388A">
              <w:rPr>
                <w:noProof/>
                <w:webHidden/>
              </w:rPr>
              <w:t>19</w:t>
            </w:r>
            <w:r>
              <w:rPr>
                <w:noProof/>
                <w:webHidden/>
              </w:rPr>
              <w:fldChar w:fldCharType="end"/>
            </w:r>
          </w:hyperlink>
        </w:p>
        <w:p w:rsidR="00C6388A" w:rsidRDefault="00D25A2E">
          <w:pPr>
            <w:pStyle w:val="TOC1"/>
            <w:tabs>
              <w:tab w:val="right" w:leader="dot" w:pos="9016"/>
            </w:tabs>
            <w:rPr>
              <w:rFonts w:eastAsiaTheme="minorEastAsia"/>
              <w:noProof/>
              <w:lang w:val="en-US"/>
            </w:rPr>
          </w:pPr>
          <w:hyperlink w:anchor="_Toc485980990" w:history="1">
            <w:r w:rsidR="00C6388A" w:rsidRPr="00B61B53">
              <w:rPr>
                <w:rStyle w:val="Hyperlink"/>
                <w:noProof/>
              </w:rPr>
              <w:t>ANNEXES</w:t>
            </w:r>
            <w:r w:rsidR="00C6388A">
              <w:rPr>
                <w:noProof/>
                <w:webHidden/>
              </w:rPr>
              <w:tab/>
            </w:r>
            <w:r>
              <w:rPr>
                <w:noProof/>
                <w:webHidden/>
              </w:rPr>
              <w:fldChar w:fldCharType="begin"/>
            </w:r>
            <w:r w:rsidR="00C6388A">
              <w:rPr>
                <w:noProof/>
                <w:webHidden/>
              </w:rPr>
              <w:instrText xml:space="preserve"> PAGEREF _Toc485980990 \h </w:instrText>
            </w:r>
            <w:r>
              <w:rPr>
                <w:noProof/>
                <w:webHidden/>
              </w:rPr>
            </w:r>
            <w:r>
              <w:rPr>
                <w:noProof/>
                <w:webHidden/>
              </w:rPr>
              <w:fldChar w:fldCharType="separate"/>
            </w:r>
            <w:r w:rsidR="00C6388A">
              <w:rPr>
                <w:noProof/>
                <w:webHidden/>
              </w:rPr>
              <w:t>21</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91" w:history="1">
            <w:r w:rsidR="00C6388A" w:rsidRPr="00B61B53">
              <w:rPr>
                <w:rStyle w:val="Hyperlink"/>
                <w:noProof/>
                <w:lang w:val="en-US"/>
              </w:rPr>
              <w:t>1. Ranking Table</w:t>
            </w:r>
            <w:r w:rsidR="00C6388A">
              <w:rPr>
                <w:noProof/>
                <w:webHidden/>
              </w:rPr>
              <w:tab/>
            </w:r>
            <w:r>
              <w:rPr>
                <w:noProof/>
                <w:webHidden/>
              </w:rPr>
              <w:fldChar w:fldCharType="begin"/>
            </w:r>
            <w:r w:rsidR="00C6388A">
              <w:rPr>
                <w:noProof/>
                <w:webHidden/>
              </w:rPr>
              <w:instrText xml:space="preserve"> PAGEREF _Toc485980991 \h </w:instrText>
            </w:r>
            <w:r>
              <w:rPr>
                <w:noProof/>
                <w:webHidden/>
              </w:rPr>
            </w:r>
            <w:r>
              <w:rPr>
                <w:noProof/>
                <w:webHidden/>
              </w:rPr>
              <w:fldChar w:fldCharType="separate"/>
            </w:r>
            <w:r w:rsidR="00C6388A">
              <w:rPr>
                <w:noProof/>
                <w:webHidden/>
              </w:rPr>
              <w:t>21</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92" w:history="1">
            <w:r w:rsidR="00C6388A" w:rsidRPr="00B61B53">
              <w:rPr>
                <w:rStyle w:val="Hyperlink"/>
                <w:noProof/>
                <w:lang w:val="en-US"/>
              </w:rPr>
              <w:t>2. Standard fact sheet for strategic projects</w:t>
            </w:r>
            <w:r w:rsidR="00C6388A">
              <w:rPr>
                <w:noProof/>
                <w:webHidden/>
              </w:rPr>
              <w:tab/>
            </w:r>
            <w:r>
              <w:rPr>
                <w:noProof/>
                <w:webHidden/>
              </w:rPr>
              <w:fldChar w:fldCharType="begin"/>
            </w:r>
            <w:r w:rsidR="00C6388A">
              <w:rPr>
                <w:noProof/>
                <w:webHidden/>
              </w:rPr>
              <w:instrText xml:space="preserve"> PAGEREF _Toc485980992 \h </w:instrText>
            </w:r>
            <w:r>
              <w:rPr>
                <w:noProof/>
                <w:webHidden/>
              </w:rPr>
            </w:r>
            <w:r>
              <w:rPr>
                <w:noProof/>
                <w:webHidden/>
              </w:rPr>
              <w:fldChar w:fldCharType="separate"/>
            </w:r>
            <w:r w:rsidR="00C6388A">
              <w:rPr>
                <w:noProof/>
                <w:webHidden/>
              </w:rPr>
              <w:t>21</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93" w:history="1">
            <w:r w:rsidR="00C6388A" w:rsidRPr="00B61B53">
              <w:rPr>
                <w:rStyle w:val="Hyperlink"/>
                <w:noProof/>
                <w:lang w:val="en-US"/>
              </w:rPr>
              <w:t>3. Excel worksheet for the ranking of strategic projects</w:t>
            </w:r>
            <w:r w:rsidR="00C6388A">
              <w:rPr>
                <w:noProof/>
                <w:webHidden/>
              </w:rPr>
              <w:tab/>
            </w:r>
            <w:r>
              <w:rPr>
                <w:noProof/>
                <w:webHidden/>
              </w:rPr>
              <w:fldChar w:fldCharType="begin"/>
            </w:r>
            <w:r w:rsidR="00C6388A">
              <w:rPr>
                <w:noProof/>
                <w:webHidden/>
              </w:rPr>
              <w:instrText xml:space="preserve"> PAGEREF _Toc485980993 \h </w:instrText>
            </w:r>
            <w:r>
              <w:rPr>
                <w:noProof/>
                <w:webHidden/>
              </w:rPr>
            </w:r>
            <w:r>
              <w:rPr>
                <w:noProof/>
                <w:webHidden/>
              </w:rPr>
              <w:fldChar w:fldCharType="separate"/>
            </w:r>
            <w:r w:rsidR="00C6388A">
              <w:rPr>
                <w:noProof/>
                <w:webHidden/>
              </w:rPr>
              <w:t>21</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94" w:history="1">
            <w:r w:rsidR="00C6388A" w:rsidRPr="00B61B53">
              <w:rPr>
                <w:rStyle w:val="Hyperlink"/>
                <w:noProof/>
                <w:lang w:val="en-US"/>
              </w:rPr>
              <w:t>4. Questionnaire for the assessment of the strategic projects</w:t>
            </w:r>
            <w:r w:rsidR="00C6388A">
              <w:rPr>
                <w:noProof/>
                <w:webHidden/>
              </w:rPr>
              <w:tab/>
            </w:r>
            <w:r>
              <w:rPr>
                <w:noProof/>
                <w:webHidden/>
              </w:rPr>
              <w:fldChar w:fldCharType="begin"/>
            </w:r>
            <w:r w:rsidR="00C6388A">
              <w:rPr>
                <w:noProof/>
                <w:webHidden/>
              </w:rPr>
              <w:instrText xml:space="preserve"> PAGEREF _Toc485980994 \h </w:instrText>
            </w:r>
            <w:r>
              <w:rPr>
                <w:noProof/>
                <w:webHidden/>
              </w:rPr>
            </w:r>
            <w:r>
              <w:rPr>
                <w:noProof/>
                <w:webHidden/>
              </w:rPr>
              <w:fldChar w:fldCharType="separate"/>
            </w:r>
            <w:r w:rsidR="00C6388A">
              <w:rPr>
                <w:noProof/>
                <w:webHidden/>
              </w:rPr>
              <w:t>21</w:t>
            </w:r>
            <w:r>
              <w:rPr>
                <w:noProof/>
                <w:webHidden/>
              </w:rPr>
              <w:fldChar w:fldCharType="end"/>
            </w:r>
          </w:hyperlink>
        </w:p>
        <w:p w:rsidR="00C6388A" w:rsidRDefault="00D25A2E">
          <w:pPr>
            <w:pStyle w:val="TOC2"/>
            <w:tabs>
              <w:tab w:val="right" w:leader="dot" w:pos="9016"/>
            </w:tabs>
            <w:rPr>
              <w:rFonts w:eastAsiaTheme="minorEastAsia"/>
              <w:noProof/>
              <w:lang w:val="en-US"/>
            </w:rPr>
          </w:pPr>
          <w:hyperlink w:anchor="_Toc485980995" w:history="1">
            <w:r w:rsidR="00C6388A" w:rsidRPr="00B61B53">
              <w:rPr>
                <w:rStyle w:val="Hyperlink"/>
                <w:noProof/>
                <w:lang w:val="en-US"/>
              </w:rPr>
              <w:t>5. Analysis of the questionnaire</w:t>
            </w:r>
            <w:r w:rsidR="00C6388A">
              <w:rPr>
                <w:noProof/>
                <w:webHidden/>
              </w:rPr>
              <w:tab/>
            </w:r>
            <w:r>
              <w:rPr>
                <w:noProof/>
                <w:webHidden/>
              </w:rPr>
              <w:fldChar w:fldCharType="begin"/>
            </w:r>
            <w:r w:rsidR="00C6388A">
              <w:rPr>
                <w:noProof/>
                <w:webHidden/>
              </w:rPr>
              <w:instrText xml:space="preserve"> PAGEREF _Toc485980995 \h </w:instrText>
            </w:r>
            <w:r>
              <w:rPr>
                <w:noProof/>
                <w:webHidden/>
              </w:rPr>
            </w:r>
            <w:r>
              <w:rPr>
                <w:noProof/>
                <w:webHidden/>
              </w:rPr>
              <w:fldChar w:fldCharType="separate"/>
            </w:r>
            <w:r w:rsidR="00C6388A">
              <w:rPr>
                <w:noProof/>
                <w:webHidden/>
              </w:rPr>
              <w:t>21</w:t>
            </w:r>
            <w:r>
              <w:rPr>
                <w:noProof/>
                <w:webHidden/>
              </w:rPr>
              <w:fldChar w:fldCharType="end"/>
            </w:r>
          </w:hyperlink>
        </w:p>
        <w:p w:rsidR="00CC1CCA" w:rsidRDefault="00D25A2E">
          <w:r>
            <w:rPr>
              <w:b/>
              <w:bCs/>
              <w:noProof/>
            </w:rPr>
            <w:fldChar w:fldCharType="end"/>
          </w:r>
        </w:p>
      </w:sdtContent>
    </w:sdt>
    <w:p w:rsidR="00316F9D" w:rsidRDefault="00316F9D" w:rsidP="003663E2">
      <w:pPr>
        <w:spacing w:after="0" w:line="240" w:lineRule="auto"/>
        <w:rPr>
          <w:rFonts w:ascii="Arial" w:hAnsi="Arial" w:cs="Arial"/>
          <w:sz w:val="24"/>
          <w:szCs w:val="24"/>
          <w:lang w:val="en-US"/>
        </w:rPr>
      </w:pPr>
      <w:bookmarkStart w:id="0" w:name="_GoBack"/>
      <w:bookmarkEnd w:id="0"/>
    </w:p>
    <w:p w:rsidR="00316F9D" w:rsidRDefault="00316F9D">
      <w:pPr>
        <w:rPr>
          <w:rFonts w:ascii="Arial" w:hAnsi="Arial" w:cs="Arial"/>
          <w:sz w:val="24"/>
          <w:szCs w:val="24"/>
          <w:lang w:val="en-US"/>
        </w:rPr>
      </w:pPr>
      <w:r>
        <w:rPr>
          <w:rFonts w:ascii="Arial" w:hAnsi="Arial" w:cs="Arial"/>
          <w:sz w:val="24"/>
          <w:szCs w:val="24"/>
          <w:lang w:val="en-US"/>
        </w:rPr>
        <w:br w:type="page"/>
      </w:r>
    </w:p>
    <w:p w:rsidR="00316F9D" w:rsidRPr="006C4642" w:rsidRDefault="006C4642" w:rsidP="00CC1CCA">
      <w:pPr>
        <w:pStyle w:val="Heading1"/>
        <w:rPr>
          <w:lang w:val="en-US"/>
        </w:rPr>
      </w:pPr>
      <w:bookmarkStart w:id="1" w:name="_Toc485980980"/>
      <w:r>
        <w:rPr>
          <w:lang w:val="en-US"/>
        </w:rPr>
        <w:lastRenderedPageBreak/>
        <w:t>1.</w:t>
      </w:r>
      <w:r w:rsidR="00107552">
        <w:rPr>
          <w:lang w:val="en-US"/>
        </w:rPr>
        <w:t xml:space="preserve"> </w:t>
      </w:r>
      <w:r w:rsidR="00316F9D" w:rsidRPr="006C4642">
        <w:rPr>
          <w:lang w:val="en-US"/>
        </w:rPr>
        <w:t>PURPOSE</w:t>
      </w:r>
      <w:bookmarkEnd w:id="1"/>
    </w:p>
    <w:p w:rsidR="00316F9D" w:rsidRDefault="00316F9D" w:rsidP="00316F9D">
      <w:pPr>
        <w:spacing w:after="0" w:line="240" w:lineRule="auto"/>
        <w:jc w:val="both"/>
        <w:rPr>
          <w:rFonts w:ascii="Arial" w:hAnsi="Arial" w:cs="Arial"/>
          <w:sz w:val="24"/>
          <w:szCs w:val="24"/>
          <w:lang w:val="en-US"/>
        </w:rPr>
      </w:pPr>
    </w:p>
    <w:p w:rsidR="00021A8B" w:rsidRDefault="004A0FC1" w:rsidP="00316F9D">
      <w:pPr>
        <w:spacing w:after="0" w:line="240" w:lineRule="auto"/>
        <w:jc w:val="both"/>
        <w:rPr>
          <w:rFonts w:ascii="Arial" w:hAnsi="Arial" w:cs="Arial"/>
          <w:sz w:val="24"/>
          <w:szCs w:val="24"/>
          <w:lang w:val="en-US"/>
        </w:rPr>
      </w:pPr>
      <w:r>
        <w:rPr>
          <w:rFonts w:ascii="Arial" w:hAnsi="Arial" w:cs="Arial"/>
          <w:sz w:val="24"/>
          <w:szCs w:val="24"/>
          <w:lang w:val="en-US"/>
        </w:rPr>
        <w:t>In a brief and practical manner, t</w:t>
      </w:r>
      <w:r w:rsidR="00316F9D">
        <w:rPr>
          <w:rFonts w:ascii="Arial" w:hAnsi="Arial" w:cs="Arial"/>
          <w:sz w:val="24"/>
          <w:szCs w:val="24"/>
          <w:lang w:val="en-US"/>
        </w:rPr>
        <w:t xml:space="preserve">his </w:t>
      </w:r>
      <w:r w:rsidR="00CC1CCA">
        <w:rPr>
          <w:rFonts w:ascii="Arial" w:hAnsi="Arial" w:cs="Arial"/>
          <w:sz w:val="24"/>
          <w:szCs w:val="24"/>
          <w:lang w:val="en-US"/>
        </w:rPr>
        <w:t>guide</w:t>
      </w:r>
      <w:r w:rsidR="00316F9D">
        <w:rPr>
          <w:rFonts w:ascii="Arial" w:hAnsi="Arial" w:cs="Arial"/>
          <w:sz w:val="24"/>
          <w:szCs w:val="24"/>
          <w:lang w:val="en-US"/>
        </w:rPr>
        <w:t xml:space="preserve"> seeks to help the Operating Structures (OSs) and </w:t>
      </w:r>
      <w:r>
        <w:rPr>
          <w:rFonts w:ascii="Arial" w:hAnsi="Arial" w:cs="Arial"/>
          <w:sz w:val="24"/>
          <w:szCs w:val="24"/>
          <w:lang w:val="en-US"/>
        </w:rPr>
        <w:t xml:space="preserve">the </w:t>
      </w:r>
      <w:r w:rsidR="00316F9D">
        <w:rPr>
          <w:rFonts w:ascii="Arial" w:hAnsi="Arial" w:cs="Arial"/>
          <w:sz w:val="24"/>
          <w:szCs w:val="24"/>
          <w:lang w:val="en-US"/>
        </w:rPr>
        <w:t xml:space="preserve">Joint Monitoring Committees (JMCs) </w:t>
      </w:r>
      <w:r w:rsidR="00AD1836">
        <w:rPr>
          <w:rFonts w:ascii="Arial" w:hAnsi="Arial" w:cs="Arial"/>
          <w:sz w:val="24"/>
          <w:szCs w:val="24"/>
          <w:lang w:val="en-US"/>
        </w:rPr>
        <w:t xml:space="preserve">to </w:t>
      </w:r>
      <w:r>
        <w:rPr>
          <w:rFonts w:ascii="Arial" w:hAnsi="Arial" w:cs="Arial"/>
          <w:sz w:val="24"/>
          <w:szCs w:val="24"/>
          <w:lang w:val="en-US"/>
        </w:rPr>
        <w:t>become aware</w:t>
      </w:r>
      <w:r w:rsidR="00AD1836">
        <w:rPr>
          <w:rFonts w:ascii="Arial" w:hAnsi="Arial" w:cs="Arial"/>
          <w:sz w:val="24"/>
          <w:szCs w:val="24"/>
          <w:lang w:val="en-US"/>
        </w:rPr>
        <w:t xml:space="preserve"> about the </w:t>
      </w:r>
      <w:r w:rsidR="004C4A4F">
        <w:rPr>
          <w:rFonts w:ascii="Arial" w:hAnsi="Arial" w:cs="Arial"/>
          <w:sz w:val="24"/>
          <w:szCs w:val="24"/>
          <w:lang w:val="en-US"/>
        </w:rPr>
        <w:t>chances of funding strategic projects under the</w:t>
      </w:r>
      <w:r w:rsidR="00AD1836">
        <w:rPr>
          <w:rFonts w:ascii="Arial" w:hAnsi="Arial" w:cs="Arial"/>
          <w:sz w:val="24"/>
          <w:szCs w:val="24"/>
          <w:lang w:val="en-US"/>
        </w:rPr>
        <w:t xml:space="preserve"> cross-border </w:t>
      </w:r>
      <w:r w:rsidR="004C4A4F">
        <w:rPr>
          <w:rFonts w:ascii="Arial" w:hAnsi="Arial" w:cs="Arial"/>
          <w:sz w:val="24"/>
          <w:szCs w:val="24"/>
          <w:lang w:val="en-US"/>
        </w:rPr>
        <w:t xml:space="preserve">cooperation (CBC) </w:t>
      </w:r>
      <w:r w:rsidR="00AD1836">
        <w:rPr>
          <w:rFonts w:ascii="Arial" w:hAnsi="Arial" w:cs="Arial"/>
          <w:sz w:val="24"/>
          <w:szCs w:val="24"/>
          <w:lang w:val="en-US"/>
        </w:rPr>
        <w:t xml:space="preserve">programmes between two or more beneficiary countries </w:t>
      </w:r>
      <w:r w:rsidR="004C4A4F">
        <w:rPr>
          <w:rFonts w:ascii="Arial" w:hAnsi="Arial" w:cs="Arial"/>
          <w:sz w:val="24"/>
          <w:szCs w:val="24"/>
          <w:lang w:val="en-US"/>
        </w:rPr>
        <w:t>in the framework of</w:t>
      </w:r>
      <w:r w:rsidR="00AD1836">
        <w:rPr>
          <w:rFonts w:ascii="Arial" w:hAnsi="Arial" w:cs="Arial"/>
          <w:sz w:val="24"/>
          <w:szCs w:val="24"/>
          <w:lang w:val="en-US"/>
        </w:rPr>
        <w:t xml:space="preserve"> the instrument of pre-accession assistance (IPA II</w:t>
      </w:r>
      <w:r w:rsidR="004C4A4F">
        <w:rPr>
          <w:rFonts w:ascii="Arial" w:hAnsi="Arial" w:cs="Arial"/>
          <w:sz w:val="24"/>
          <w:szCs w:val="24"/>
          <w:lang w:val="en-US"/>
        </w:rPr>
        <w:t>, 2014-2020</w:t>
      </w:r>
      <w:r w:rsidR="00AD1836">
        <w:rPr>
          <w:rFonts w:ascii="Arial" w:hAnsi="Arial" w:cs="Arial"/>
          <w:sz w:val="24"/>
          <w:szCs w:val="24"/>
          <w:lang w:val="en-US"/>
        </w:rPr>
        <w:t>)</w:t>
      </w:r>
      <w:r w:rsidR="004C4A4F">
        <w:rPr>
          <w:rFonts w:ascii="Arial" w:hAnsi="Arial" w:cs="Arial"/>
          <w:sz w:val="24"/>
          <w:szCs w:val="24"/>
          <w:lang w:val="en-US"/>
        </w:rPr>
        <w:t xml:space="preserve">. </w:t>
      </w:r>
    </w:p>
    <w:p w:rsidR="00021A8B" w:rsidRDefault="00021A8B" w:rsidP="00316F9D">
      <w:pPr>
        <w:spacing w:after="0" w:line="240" w:lineRule="auto"/>
        <w:jc w:val="both"/>
        <w:rPr>
          <w:rFonts w:ascii="Arial" w:hAnsi="Arial" w:cs="Arial"/>
          <w:sz w:val="24"/>
          <w:szCs w:val="24"/>
          <w:lang w:val="en-US"/>
        </w:rPr>
      </w:pPr>
    </w:p>
    <w:p w:rsidR="00643B83" w:rsidRDefault="006C4642" w:rsidP="00316F9D">
      <w:pPr>
        <w:spacing w:after="0" w:line="240" w:lineRule="auto"/>
        <w:jc w:val="both"/>
        <w:rPr>
          <w:rFonts w:ascii="Arial" w:hAnsi="Arial" w:cs="Arial"/>
          <w:sz w:val="24"/>
          <w:szCs w:val="24"/>
          <w:lang w:val="en-US"/>
        </w:rPr>
      </w:pPr>
      <w:r w:rsidRPr="00CC1CCA">
        <w:rPr>
          <w:rFonts w:ascii="Arial" w:hAnsi="Arial" w:cs="Arial"/>
          <w:sz w:val="24"/>
          <w:szCs w:val="24"/>
          <w:lang w:val="en-US"/>
        </w:rPr>
        <w:t>More specific</w:t>
      </w:r>
      <w:r w:rsidR="00EA7397">
        <w:rPr>
          <w:rFonts w:ascii="Arial" w:hAnsi="Arial" w:cs="Arial"/>
          <w:sz w:val="24"/>
          <w:szCs w:val="24"/>
          <w:lang w:val="en-US"/>
        </w:rPr>
        <w:t>ally</w:t>
      </w:r>
      <w:r w:rsidR="00A62B38" w:rsidRPr="00CC1CCA">
        <w:rPr>
          <w:rFonts w:ascii="Arial" w:hAnsi="Arial" w:cs="Arial"/>
          <w:sz w:val="24"/>
          <w:szCs w:val="24"/>
          <w:lang w:val="en-US"/>
        </w:rPr>
        <w:t xml:space="preserve"> this </w:t>
      </w:r>
      <w:r w:rsidR="00CC1CCA" w:rsidRPr="00CC1CCA">
        <w:rPr>
          <w:rFonts w:ascii="Arial" w:hAnsi="Arial" w:cs="Arial"/>
          <w:sz w:val="24"/>
          <w:szCs w:val="24"/>
          <w:lang w:val="en-US"/>
        </w:rPr>
        <w:t>guide</w:t>
      </w:r>
      <w:r w:rsidR="00A62B38" w:rsidRPr="00CC1CCA">
        <w:rPr>
          <w:rFonts w:ascii="Arial" w:hAnsi="Arial" w:cs="Arial"/>
          <w:sz w:val="24"/>
          <w:szCs w:val="24"/>
          <w:lang w:val="en-US"/>
        </w:rPr>
        <w:t xml:space="preserve"> will serve as a </w:t>
      </w:r>
      <w:r w:rsidR="000600F3">
        <w:rPr>
          <w:rFonts w:ascii="Arial" w:hAnsi="Arial" w:cs="Arial"/>
          <w:sz w:val="24"/>
          <w:szCs w:val="24"/>
          <w:lang w:val="en-US"/>
        </w:rPr>
        <w:t>reference source</w:t>
      </w:r>
      <w:r w:rsidR="00A62B38" w:rsidRPr="00CC1CCA">
        <w:rPr>
          <w:rFonts w:ascii="Arial" w:hAnsi="Arial" w:cs="Arial"/>
          <w:sz w:val="24"/>
          <w:szCs w:val="24"/>
          <w:lang w:val="en-US"/>
        </w:rPr>
        <w:t xml:space="preserve"> to the OSs and </w:t>
      </w:r>
      <w:r w:rsidR="00F42862">
        <w:rPr>
          <w:rFonts w:ascii="Arial" w:hAnsi="Arial" w:cs="Arial"/>
          <w:sz w:val="24"/>
          <w:szCs w:val="24"/>
          <w:lang w:val="en-US"/>
        </w:rPr>
        <w:t xml:space="preserve">the </w:t>
      </w:r>
      <w:r w:rsidR="00A62B38" w:rsidRPr="00CC1CCA">
        <w:rPr>
          <w:rFonts w:ascii="Arial" w:hAnsi="Arial" w:cs="Arial"/>
          <w:sz w:val="24"/>
          <w:szCs w:val="24"/>
          <w:lang w:val="en-US"/>
        </w:rPr>
        <w:t>JMC</w:t>
      </w:r>
      <w:r w:rsidR="00F42862">
        <w:rPr>
          <w:rFonts w:ascii="Arial" w:hAnsi="Arial" w:cs="Arial"/>
          <w:sz w:val="24"/>
          <w:szCs w:val="24"/>
          <w:lang w:val="en-US"/>
        </w:rPr>
        <w:t>s</w:t>
      </w:r>
      <w:r w:rsidR="00A62B38" w:rsidRPr="00CC1CCA">
        <w:rPr>
          <w:rFonts w:ascii="Arial" w:hAnsi="Arial" w:cs="Arial"/>
          <w:sz w:val="24"/>
          <w:szCs w:val="24"/>
          <w:lang w:val="en-US"/>
        </w:rPr>
        <w:t>, while identifying, selecting and implementing strategic projects.</w:t>
      </w:r>
      <w:r w:rsidR="00A62B38">
        <w:rPr>
          <w:rFonts w:ascii="Arial" w:hAnsi="Arial" w:cs="Arial"/>
          <w:sz w:val="24"/>
          <w:szCs w:val="24"/>
          <w:lang w:val="en-US"/>
        </w:rPr>
        <w:t xml:space="preserve"> </w:t>
      </w:r>
      <w:r w:rsidR="007D7360">
        <w:rPr>
          <w:rFonts w:ascii="Arial" w:hAnsi="Arial" w:cs="Arial"/>
          <w:sz w:val="24"/>
          <w:szCs w:val="24"/>
          <w:lang w:val="en-US"/>
        </w:rPr>
        <w:t>Therefore</w:t>
      </w:r>
      <w:r w:rsidR="00AD1836">
        <w:rPr>
          <w:rFonts w:ascii="Arial" w:hAnsi="Arial" w:cs="Arial"/>
          <w:sz w:val="24"/>
          <w:szCs w:val="24"/>
          <w:lang w:val="en-US"/>
        </w:rPr>
        <w:t xml:space="preserve">, </w:t>
      </w:r>
      <w:r w:rsidR="004C4A4F">
        <w:rPr>
          <w:rFonts w:ascii="Arial" w:hAnsi="Arial" w:cs="Arial"/>
          <w:sz w:val="24"/>
          <w:szCs w:val="24"/>
          <w:lang w:val="en-US"/>
        </w:rPr>
        <w:t xml:space="preserve">the </w:t>
      </w:r>
      <w:r w:rsidR="00643B83">
        <w:rPr>
          <w:rFonts w:ascii="Arial" w:hAnsi="Arial" w:cs="Arial"/>
          <w:sz w:val="24"/>
          <w:szCs w:val="24"/>
          <w:lang w:val="en-US"/>
        </w:rPr>
        <w:t>guide</w:t>
      </w:r>
      <w:r w:rsidR="004C4A4F">
        <w:rPr>
          <w:rFonts w:ascii="Arial" w:hAnsi="Arial" w:cs="Arial"/>
          <w:sz w:val="24"/>
          <w:szCs w:val="24"/>
          <w:lang w:val="en-US"/>
        </w:rPr>
        <w:t xml:space="preserve"> </w:t>
      </w:r>
    </w:p>
    <w:p w:rsidR="00643B83" w:rsidRDefault="007D7360"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 xml:space="preserve">explains the legal background enabling the undertaking of this type of projects, </w:t>
      </w:r>
    </w:p>
    <w:p w:rsidR="00643B83" w:rsidRDefault="00AD1836"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take</w:t>
      </w:r>
      <w:r w:rsidR="004C4A4F" w:rsidRPr="00643B83">
        <w:rPr>
          <w:rFonts w:ascii="Arial" w:hAnsi="Arial" w:cs="Arial"/>
          <w:sz w:val="24"/>
          <w:szCs w:val="24"/>
          <w:lang w:val="en-US"/>
        </w:rPr>
        <w:t>s</w:t>
      </w:r>
      <w:r w:rsidRPr="00643B83">
        <w:rPr>
          <w:rFonts w:ascii="Arial" w:hAnsi="Arial" w:cs="Arial"/>
          <w:sz w:val="24"/>
          <w:szCs w:val="24"/>
          <w:lang w:val="en-US"/>
        </w:rPr>
        <w:t xml:space="preserve"> stock of the lessons </w:t>
      </w:r>
      <w:r w:rsidR="004C4A4F" w:rsidRPr="00643B83">
        <w:rPr>
          <w:rFonts w:ascii="Arial" w:hAnsi="Arial" w:cs="Arial"/>
          <w:sz w:val="24"/>
          <w:szCs w:val="24"/>
          <w:lang w:val="en-US"/>
        </w:rPr>
        <w:t>learnt from the</w:t>
      </w:r>
      <w:r w:rsidR="007D7360" w:rsidRPr="00643B83">
        <w:rPr>
          <w:rFonts w:ascii="Arial" w:hAnsi="Arial" w:cs="Arial"/>
          <w:sz w:val="24"/>
          <w:szCs w:val="24"/>
          <w:lang w:val="en-US"/>
        </w:rPr>
        <w:t>ir</w:t>
      </w:r>
      <w:r w:rsidR="004C4A4F" w:rsidRPr="00643B83">
        <w:rPr>
          <w:rFonts w:ascii="Arial" w:hAnsi="Arial" w:cs="Arial"/>
          <w:sz w:val="24"/>
          <w:szCs w:val="24"/>
          <w:lang w:val="en-US"/>
        </w:rPr>
        <w:t xml:space="preserve"> im</w:t>
      </w:r>
      <w:r w:rsidR="00021A8B" w:rsidRPr="00643B83">
        <w:rPr>
          <w:rFonts w:ascii="Arial" w:hAnsi="Arial" w:cs="Arial"/>
          <w:sz w:val="24"/>
          <w:szCs w:val="24"/>
          <w:lang w:val="en-US"/>
        </w:rPr>
        <w:t>plementation under the 2007-2013</w:t>
      </w:r>
      <w:r w:rsidR="004C4A4F" w:rsidRPr="00643B83">
        <w:rPr>
          <w:rFonts w:ascii="Arial" w:hAnsi="Arial" w:cs="Arial"/>
          <w:sz w:val="24"/>
          <w:szCs w:val="24"/>
          <w:lang w:val="en-US"/>
        </w:rPr>
        <w:t xml:space="preserve"> IPA CBC programmes, </w:t>
      </w:r>
    </w:p>
    <w:p w:rsidR="00643B83" w:rsidRDefault="00FD664E"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proposes a</w:t>
      </w:r>
      <w:r w:rsidR="004C4A4F" w:rsidRPr="00643B83">
        <w:rPr>
          <w:rFonts w:ascii="Arial" w:hAnsi="Arial" w:cs="Arial"/>
          <w:sz w:val="24"/>
          <w:szCs w:val="24"/>
          <w:lang w:val="en-US"/>
        </w:rPr>
        <w:t xml:space="preserve"> method for the</w:t>
      </w:r>
      <w:r w:rsidR="007D7360" w:rsidRPr="00643B83">
        <w:rPr>
          <w:rFonts w:ascii="Arial" w:hAnsi="Arial" w:cs="Arial"/>
          <w:sz w:val="24"/>
          <w:szCs w:val="24"/>
          <w:lang w:val="en-US"/>
        </w:rPr>
        <w:t>ir</w:t>
      </w:r>
      <w:r w:rsidR="004C4A4F" w:rsidRPr="00643B83">
        <w:rPr>
          <w:rFonts w:ascii="Arial" w:hAnsi="Arial" w:cs="Arial"/>
          <w:sz w:val="24"/>
          <w:szCs w:val="24"/>
          <w:lang w:val="en-US"/>
        </w:rPr>
        <w:t xml:space="preserve"> identification, </w:t>
      </w:r>
    </w:p>
    <w:p w:rsidR="00643B83" w:rsidRDefault="00FD664E"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 xml:space="preserve">discusses the alternatives for their selection, </w:t>
      </w:r>
    </w:p>
    <w:p w:rsidR="00643B83" w:rsidRDefault="00FD664E"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elaborates on what is required for procuri</w:t>
      </w:r>
      <w:r w:rsidR="007D7360" w:rsidRPr="00643B83">
        <w:rPr>
          <w:rFonts w:ascii="Arial" w:hAnsi="Arial" w:cs="Arial"/>
          <w:sz w:val="24"/>
          <w:szCs w:val="24"/>
          <w:lang w:val="en-US"/>
        </w:rPr>
        <w:t xml:space="preserve">ng services, supplies and works as </w:t>
      </w:r>
      <w:r w:rsidR="004A0FC1" w:rsidRPr="00643B83">
        <w:rPr>
          <w:rFonts w:ascii="Arial" w:hAnsi="Arial" w:cs="Arial"/>
          <w:sz w:val="24"/>
          <w:szCs w:val="24"/>
          <w:lang w:val="en-US"/>
        </w:rPr>
        <w:t xml:space="preserve">fundamental tender documents </w:t>
      </w:r>
      <w:r w:rsidR="00021A8B" w:rsidRPr="00643B83">
        <w:rPr>
          <w:rFonts w:ascii="Arial" w:hAnsi="Arial" w:cs="Arial"/>
          <w:sz w:val="24"/>
          <w:szCs w:val="24"/>
          <w:lang w:val="en-US"/>
        </w:rPr>
        <w:t>for the implementation</w:t>
      </w:r>
      <w:r w:rsidR="007D7360" w:rsidRPr="00643B83">
        <w:rPr>
          <w:rFonts w:ascii="Arial" w:hAnsi="Arial" w:cs="Arial"/>
          <w:sz w:val="24"/>
          <w:szCs w:val="24"/>
          <w:lang w:val="en-US"/>
        </w:rPr>
        <w:t xml:space="preserve"> of the</w:t>
      </w:r>
      <w:r w:rsidR="004A0FC1" w:rsidRPr="00643B83">
        <w:rPr>
          <w:rFonts w:ascii="Arial" w:hAnsi="Arial" w:cs="Arial"/>
          <w:sz w:val="24"/>
          <w:szCs w:val="24"/>
          <w:lang w:val="en-US"/>
        </w:rPr>
        <w:t>se</w:t>
      </w:r>
      <w:r w:rsidR="007D7360" w:rsidRPr="00643B83">
        <w:rPr>
          <w:rFonts w:ascii="Arial" w:hAnsi="Arial" w:cs="Arial"/>
          <w:sz w:val="24"/>
          <w:szCs w:val="24"/>
          <w:lang w:val="en-US"/>
        </w:rPr>
        <w:t xml:space="preserve"> project</w:t>
      </w:r>
      <w:r w:rsidR="004A0FC1" w:rsidRPr="00643B83">
        <w:rPr>
          <w:rFonts w:ascii="Arial" w:hAnsi="Arial" w:cs="Arial"/>
          <w:sz w:val="24"/>
          <w:szCs w:val="24"/>
          <w:lang w:val="en-US"/>
        </w:rPr>
        <w:t>s</w:t>
      </w:r>
      <w:r w:rsidR="007D7360" w:rsidRPr="00643B83">
        <w:rPr>
          <w:rFonts w:ascii="Arial" w:hAnsi="Arial" w:cs="Arial"/>
          <w:sz w:val="24"/>
          <w:szCs w:val="24"/>
          <w:lang w:val="en-US"/>
        </w:rPr>
        <w:t xml:space="preserve">, </w:t>
      </w:r>
      <w:r w:rsidRPr="00643B83">
        <w:rPr>
          <w:rFonts w:ascii="Arial" w:hAnsi="Arial" w:cs="Arial"/>
          <w:sz w:val="24"/>
          <w:szCs w:val="24"/>
          <w:lang w:val="en-US"/>
        </w:rPr>
        <w:t xml:space="preserve">and </w:t>
      </w:r>
      <w:r w:rsidR="007D7360" w:rsidRPr="00643B83">
        <w:rPr>
          <w:rFonts w:ascii="Arial" w:hAnsi="Arial" w:cs="Arial"/>
          <w:sz w:val="24"/>
          <w:szCs w:val="24"/>
          <w:lang w:val="en-US"/>
        </w:rPr>
        <w:t xml:space="preserve">finally </w:t>
      </w:r>
    </w:p>
    <w:p w:rsidR="00316F9D" w:rsidRPr="00643B83" w:rsidRDefault="00FD664E" w:rsidP="00643B83">
      <w:pPr>
        <w:pStyle w:val="ListParagraph"/>
        <w:numPr>
          <w:ilvl w:val="0"/>
          <w:numId w:val="43"/>
        </w:numPr>
        <w:spacing w:after="0" w:line="240" w:lineRule="auto"/>
        <w:jc w:val="both"/>
        <w:rPr>
          <w:rFonts w:ascii="Arial" w:hAnsi="Arial" w:cs="Arial"/>
          <w:sz w:val="24"/>
          <w:szCs w:val="24"/>
          <w:lang w:val="en-US"/>
        </w:rPr>
      </w:pPr>
      <w:r w:rsidRPr="00643B83">
        <w:rPr>
          <w:rFonts w:ascii="Arial" w:hAnsi="Arial" w:cs="Arial"/>
          <w:sz w:val="24"/>
          <w:szCs w:val="24"/>
          <w:lang w:val="en-US"/>
        </w:rPr>
        <w:t>proposes a proper moni</w:t>
      </w:r>
      <w:r w:rsidR="004A0FC1" w:rsidRPr="00643B83">
        <w:rPr>
          <w:rFonts w:ascii="Arial" w:hAnsi="Arial" w:cs="Arial"/>
          <w:sz w:val="24"/>
          <w:szCs w:val="24"/>
          <w:lang w:val="en-US"/>
        </w:rPr>
        <w:t>toring set-up in order to verify</w:t>
      </w:r>
      <w:r w:rsidRPr="00643B83">
        <w:rPr>
          <w:rFonts w:ascii="Arial" w:hAnsi="Arial" w:cs="Arial"/>
          <w:sz w:val="24"/>
          <w:szCs w:val="24"/>
          <w:lang w:val="en-US"/>
        </w:rPr>
        <w:t xml:space="preserve"> the </w:t>
      </w:r>
      <w:r w:rsidR="004A0FC1" w:rsidRPr="00643B83">
        <w:rPr>
          <w:rFonts w:ascii="Arial" w:hAnsi="Arial" w:cs="Arial"/>
          <w:sz w:val="24"/>
          <w:szCs w:val="24"/>
          <w:lang w:val="en-US"/>
        </w:rPr>
        <w:t xml:space="preserve">delivery of outputs and </w:t>
      </w:r>
      <w:r w:rsidRPr="00643B83">
        <w:rPr>
          <w:rFonts w:ascii="Arial" w:hAnsi="Arial" w:cs="Arial"/>
          <w:sz w:val="24"/>
          <w:szCs w:val="24"/>
          <w:lang w:val="en-US"/>
        </w:rPr>
        <w:t xml:space="preserve">achievement of outcomes. </w:t>
      </w:r>
    </w:p>
    <w:p w:rsidR="009870D0" w:rsidRDefault="009870D0" w:rsidP="00F42862">
      <w:pPr>
        <w:autoSpaceDE w:val="0"/>
        <w:autoSpaceDN w:val="0"/>
        <w:adjustRightInd w:val="0"/>
        <w:spacing w:after="0" w:line="240" w:lineRule="auto"/>
        <w:jc w:val="both"/>
        <w:rPr>
          <w:rFonts w:ascii="Arial" w:hAnsi="Arial" w:cs="Arial"/>
          <w:sz w:val="24"/>
          <w:szCs w:val="24"/>
        </w:rPr>
      </w:pPr>
    </w:p>
    <w:p w:rsidR="009870D0" w:rsidRPr="0083683C" w:rsidRDefault="00EA7397" w:rsidP="00F428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Following a</w:t>
      </w:r>
      <w:r w:rsidR="00643B83" w:rsidRPr="00643B83">
        <w:rPr>
          <w:rFonts w:ascii="Arial" w:hAnsi="Arial" w:cs="Arial"/>
          <w:sz w:val="24"/>
          <w:szCs w:val="24"/>
        </w:rPr>
        <w:t>n assessment on the strategic projects implemented under the 2007-2013 CBC financial cycle</w:t>
      </w:r>
      <w:r>
        <w:rPr>
          <w:rFonts w:ascii="Arial" w:hAnsi="Arial" w:cs="Arial"/>
          <w:sz w:val="24"/>
          <w:szCs w:val="24"/>
        </w:rPr>
        <w:t xml:space="preserve">, the guide </w:t>
      </w:r>
      <w:r w:rsidR="00643B83" w:rsidRPr="00643B83">
        <w:rPr>
          <w:rFonts w:ascii="Arial" w:hAnsi="Arial" w:cs="Arial"/>
          <w:sz w:val="24"/>
          <w:szCs w:val="24"/>
        </w:rPr>
        <w:t>single</w:t>
      </w:r>
      <w:r>
        <w:rPr>
          <w:rFonts w:ascii="Arial" w:hAnsi="Arial" w:cs="Arial"/>
          <w:sz w:val="24"/>
          <w:szCs w:val="24"/>
        </w:rPr>
        <w:t>s</w:t>
      </w:r>
      <w:r w:rsidR="00643B83" w:rsidRPr="00643B83">
        <w:rPr>
          <w:rFonts w:ascii="Arial" w:hAnsi="Arial" w:cs="Arial"/>
          <w:sz w:val="24"/>
          <w:szCs w:val="24"/>
        </w:rPr>
        <w:t xml:space="preserve"> out some crucial findings and provide</w:t>
      </w:r>
      <w:r>
        <w:rPr>
          <w:rFonts w:ascii="Arial" w:hAnsi="Arial" w:cs="Arial"/>
          <w:sz w:val="24"/>
          <w:szCs w:val="24"/>
        </w:rPr>
        <w:t>s</w:t>
      </w:r>
      <w:r w:rsidR="00643B83" w:rsidRPr="00643B83">
        <w:rPr>
          <w:rFonts w:ascii="Arial" w:hAnsi="Arial" w:cs="Arial"/>
          <w:sz w:val="24"/>
          <w:szCs w:val="24"/>
        </w:rPr>
        <w:t xml:space="preserve"> some recommendations. This is meant </w:t>
      </w:r>
      <w:r w:rsidR="009870D0" w:rsidRPr="00643B83">
        <w:rPr>
          <w:rFonts w:ascii="Arial" w:hAnsi="Arial" w:cs="Arial"/>
          <w:sz w:val="24"/>
          <w:szCs w:val="24"/>
        </w:rPr>
        <w:t>to help the O</w:t>
      </w:r>
      <w:r w:rsidR="00643B83" w:rsidRPr="00643B83">
        <w:rPr>
          <w:rFonts w:ascii="Arial" w:hAnsi="Arial" w:cs="Arial"/>
          <w:sz w:val="24"/>
          <w:szCs w:val="24"/>
        </w:rPr>
        <w:t>Ss</w:t>
      </w:r>
      <w:r>
        <w:rPr>
          <w:rFonts w:ascii="Arial" w:hAnsi="Arial" w:cs="Arial"/>
          <w:sz w:val="24"/>
          <w:szCs w:val="24"/>
        </w:rPr>
        <w:t>,</w:t>
      </w:r>
      <w:r w:rsidR="009870D0" w:rsidRPr="00643B83">
        <w:rPr>
          <w:rFonts w:ascii="Arial" w:hAnsi="Arial" w:cs="Arial"/>
          <w:sz w:val="24"/>
          <w:szCs w:val="24"/>
        </w:rPr>
        <w:t xml:space="preserve"> as well as other </w:t>
      </w:r>
      <w:r w:rsidR="00643B83" w:rsidRPr="00643B83">
        <w:rPr>
          <w:rFonts w:ascii="Arial" w:hAnsi="Arial" w:cs="Arial"/>
          <w:sz w:val="24"/>
          <w:szCs w:val="24"/>
        </w:rPr>
        <w:t>relevant programme bodies</w:t>
      </w:r>
      <w:r>
        <w:rPr>
          <w:rFonts w:ascii="Arial" w:hAnsi="Arial" w:cs="Arial"/>
          <w:sz w:val="24"/>
          <w:szCs w:val="24"/>
        </w:rPr>
        <w:t>,</w:t>
      </w:r>
      <w:r w:rsidR="009870D0" w:rsidRPr="00643B83">
        <w:rPr>
          <w:rFonts w:ascii="Arial" w:hAnsi="Arial" w:cs="Arial"/>
          <w:sz w:val="24"/>
          <w:szCs w:val="24"/>
        </w:rPr>
        <w:t xml:space="preserve"> to design </w:t>
      </w:r>
      <w:r w:rsidR="00DA7C43" w:rsidRPr="00643B83">
        <w:rPr>
          <w:rFonts w:ascii="Arial" w:hAnsi="Arial" w:cs="Arial"/>
          <w:sz w:val="24"/>
          <w:szCs w:val="24"/>
        </w:rPr>
        <w:t xml:space="preserve">and/or improve </w:t>
      </w:r>
      <w:r w:rsidR="009870D0" w:rsidRPr="00643B83">
        <w:rPr>
          <w:rFonts w:ascii="Arial" w:hAnsi="Arial" w:cs="Arial"/>
          <w:sz w:val="24"/>
          <w:szCs w:val="24"/>
        </w:rPr>
        <w:t xml:space="preserve">their own communication and support tools in a way that </w:t>
      </w:r>
      <w:r w:rsidR="00643B83" w:rsidRPr="00643B83">
        <w:rPr>
          <w:rFonts w:ascii="Arial" w:hAnsi="Arial" w:cs="Arial"/>
          <w:sz w:val="24"/>
          <w:szCs w:val="24"/>
        </w:rPr>
        <w:t>would ease the future</w:t>
      </w:r>
      <w:r w:rsidR="009870D0" w:rsidRPr="00643B83">
        <w:rPr>
          <w:rFonts w:ascii="Arial" w:hAnsi="Arial" w:cs="Arial"/>
          <w:sz w:val="24"/>
          <w:szCs w:val="24"/>
        </w:rPr>
        <w:t xml:space="preserve"> generation of strategic projects.</w:t>
      </w:r>
    </w:p>
    <w:p w:rsidR="005F486A" w:rsidRDefault="005F486A">
      <w:pPr>
        <w:rPr>
          <w:rFonts w:ascii="Arial" w:hAnsi="Arial" w:cs="Arial"/>
          <w:sz w:val="24"/>
          <w:szCs w:val="24"/>
          <w:lang w:val="en-US"/>
        </w:rPr>
      </w:pPr>
      <w:r>
        <w:rPr>
          <w:rFonts w:ascii="Arial" w:hAnsi="Arial" w:cs="Arial"/>
          <w:sz w:val="24"/>
          <w:szCs w:val="24"/>
          <w:lang w:val="en-US"/>
        </w:rPr>
        <w:br w:type="page"/>
      </w:r>
    </w:p>
    <w:p w:rsidR="005F486A" w:rsidRPr="006C4642" w:rsidRDefault="006C4642" w:rsidP="00643B83">
      <w:pPr>
        <w:pStyle w:val="Heading1"/>
        <w:rPr>
          <w:lang w:val="en-US"/>
        </w:rPr>
      </w:pPr>
      <w:bookmarkStart w:id="2" w:name="_Toc485980981"/>
      <w:r>
        <w:rPr>
          <w:lang w:val="en-US"/>
        </w:rPr>
        <w:lastRenderedPageBreak/>
        <w:t>2.</w:t>
      </w:r>
      <w:r w:rsidR="00FD4F11">
        <w:rPr>
          <w:lang w:val="en-US"/>
        </w:rPr>
        <w:t xml:space="preserve"> </w:t>
      </w:r>
      <w:r w:rsidR="005F486A" w:rsidRPr="006C4642">
        <w:rPr>
          <w:lang w:val="en-US"/>
        </w:rPr>
        <w:t>LEGAL BACKGROUND</w:t>
      </w:r>
      <w:bookmarkEnd w:id="2"/>
    </w:p>
    <w:p w:rsidR="005F486A" w:rsidRPr="005F486A" w:rsidRDefault="005F486A" w:rsidP="00316F9D">
      <w:pPr>
        <w:spacing w:after="0" w:line="240" w:lineRule="auto"/>
        <w:jc w:val="both"/>
        <w:rPr>
          <w:rFonts w:ascii="Arial" w:hAnsi="Arial" w:cs="Arial"/>
          <w:sz w:val="24"/>
          <w:szCs w:val="24"/>
          <w:lang w:val="en-US"/>
        </w:rPr>
      </w:pPr>
    </w:p>
    <w:p w:rsidR="001F1342" w:rsidRDefault="00643B83" w:rsidP="00316F9D">
      <w:pPr>
        <w:spacing w:after="0" w:line="240" w:lineRule="auto"/>
        <w:jc w:val="both"/>
        <w:rPr>
          <w:rFonts w:ascii="Arial" w:hAnsi="Arial" w:cs="Arial"/>
          <w:sz w:val="24"/>
          <w:szCs w:val="24"/>
          <w:lang w:eastAsia="de-DE"/>
        </w:rPr>
      </w:pPr>
      <w:r>
        <w:rPr>
          <w:rFonts w:ascii="Arial" w:hAnsi="Arial" w:cs="Arial"/>
          <w:sz w:val="24"/>
          <w:szCs w:val="24"/>
          <w:lang w:val="en-US"/>
        </w:rPr>
        <w:t>Although</w:t>
      </w:r>
      <w:r w:rsidR="00E17BE2">
        <w:rPr>
          <w:rFonts w:ascii="Arial" w:hAnsi="Arial" w:cs="Arial"/>
          <w:sz w:val="24"/>
          <w:szCs w:val="24"/>
          <w:lang w:val="en-US"/>
        </w:rPr>
        <w:t xml:space="preserve"> Article 70(2) of the Framework Agreement (FWA) for the implementation of </w:t>
      </w:r>
      <w:r w:rsidR="00BD2A6E">
        <w:rPr>
          <w:rFonts w:ascii="Arial" w:hAnsi="Arial" w:cs="Arial"/>
          <w:sz w:val="24"/>
          <w:szCs w:val="24"/>
          <w:lang w:val="en-US"/>
        </w:rPr>
        <w:t xml:space="preserve">2014-2020 </w:t>
      </w:r>
      <w:r w:rsidR="00E17BE2">
        <w:rPr>
          <w:rFonts w:ascii="Arial" w:hAnsi="Arial" w:cs="Arial"/>
          <w:sz w:val="24"/>
          <w:szCs w:val="24"/>
          <w:lang w:val="en-US"/>
        </w:rPr>
        <w:t xml:space="preserve">IPA II lays down that </w:t>
      </w:r>
      <w:r w:rsidR="00E17BE2" w:rsidRPr="00BD2A6E">
        <w:rPr>
          <w:rFonts w:ascii="Arial" w:hAnsi="Arial" w:cs="Arial"/>
          <w:i/>
          <w:sz w:val="24"/>
          <w:szCs w:val="24"/>
          <w:lang w:val="en-US"/>
        </w:rPr>
        <w:t>‘o</w:t>
      </w:r>
      <w:r w:rsidR="00E17BE2" w:rsidRPr="00BD2A6E">
        <w:rPr>
          <w:rFonts w:ascii="Arial" w:hAnsi="Arial" w:cs="Arial"/>
          <w:i/>
          <w:sz w:val="24"/>
          <w:szCs w:val="24"/>
          <w:lang w:eastAsia="de-DE"/>
        </w:rPr>
        <w:t>perations under cross-border cooperation programmes shall be selected by the contracting authority through calls for proposals covering</w:t>
      </w:r>
      <w:r w:rsidR="004A0FC1" w:rsidRPr="00BD2A6E">
        <w:rPr>
          <w:rFonts w:ascii="Arial" w:hAnsi="Arial" w:cs="Arial"/>
          <w:i/>
          <w:sz w:val="24"/>
          <w:szCs w:val="24"/>
          <w:lang w:eastAsia="de-DE"/>
        </w:rPr>
        <w:t xml:space="preserve"> the whole eligible area’</w:t>
      </w:r>
      <w:r w:rsidR="004A0FC1">
        <w:rPr>
          <w:rFonts w:ascii="Arial" w:hAnsi="Arial" w:cs="Arial"/>
          <w:sz w:val="24"/>
          <w:szCs w:val="24"/>
          <w:lang w:eastAsia="de-DE"/>
        </w:rPr>
        <w:t>;</w:t>
      </w:r>
      <w:r w:rsidR="00E17BE2">
        <w:rPr>
          <w:rFonts w:ascii="Arial" w:hAnsi="Arial" w:cs="Arial"/>
          <w:sz w:val="24"/>
          <w:szCs w:val="24"/>
          <w:lang w:eastAsia="de-DE"/>
        </w:rPr>
        <w:t xml:space="preserve"> t</w:t>
      </w:r>
      <w:r w:rsidR="003C1E6C">
        <w:rPr>
          <w:rFonts w:ascii="Arial" w:hAnsi="Arial" w:cs="Arial"/>
          <w:sz w:val="24"/>
          <w:szCs w:val="24"/>
          <w:lang w:val="en-US"/>
        </w:rPr>
        <w:t xml:space="preserve">he </w:t>
      </w:r>
      <w:r w:rsidR="004A0FC1">
        <w:rPr>
          <w:rFonts w:ascii="Arial" w:hAnsi="Arial" w:cs="Arial"/>
          <w:sz w:val="24"/>
          <w:szCs w:val="24"/>
          <w:lang w:val="en-US"/>
        </w:rPr>
        <w:t xml:space="preserve">subsequent </w:t>
      </w:r>
      <w:r w:rsidR="003C1E6C">
        <w:rPr>
          <w:rFonts w:ascii="Arial" w:hAnsi="Arial" w:cs="Arial"/>
          <w:sz w:val="24"/>
          <w:szCs w:val="24"/>
          <w:lang w:val="en-US"/>
        </w:rPr>
        <w:t>A</w:t>
      </w:r>
      <w:r w:rsidR="001F1342">
        <w:rPr>
          <w:rFonts w:ascii="Arial" w:hAnsi="Arial" w:cs="Arial"/>
          <w:sz w:val="24"/>
          <w:szCs w:val="24"/>
          <w:lang w:val="en-US"/>
        </w:rPr>
        <w:t xml:space="preserve">rticle 70(3) reads: </w:t>
      </w:r>
      <w:r w:rsidR="001F1342" w:rsidRPr="00BD2A6E">
        <w:rPr>
          <w:rFonts w:ascii="Arial" w:hAnsi="Arial" w:cs="Arial"/>
          <w:i/>
          <w:sz w:val="24"/>
          <w:szCs w:val="24"/>
          <w:lang w:val="en-US"/>
        </w:rPr>
        <w:t>‘</w:t>
      </w:r>
      <w:r w:rsidR="00E17BE2" w:rsidRPr="00BD2A6E">
        <w:rPr>
          <w:rFonts w:ascii="Arial" w:hAnsi="Arial" w:cs="Arial"/>
          <w:i/>
          <w:sz w:val="24"/>
          <w:szCs w:val="24"/>
          <w:lang w:eastAsia="de-DE"/>
        </w:rPr>
        <w:t>p</w:t>
      </w:r>
      <w:r w:rsidR="001F1342" w:rsidRPr="00BD2A6E">
        <w:rPr>
          <w:rFonts w:ascii="Arial" w:hAnsi="Arial" w:cs="Arial"/>
          <w:i/>
          <w:sz w:val="24"/>
          <w:szCs w:val="24"/>
          <w:lang w:eastAsia="de-DE"/>
        </w:rPr>
        <w:t>articipating countries may also identify operations outside call for proposals. In that event, the operations shall be specifically mentioned in the cross-border cooperation programme referred to in Article 68.’</w:t>
      </w:r>
      <w:r w:rsidR="00E17BE2">
        <w:rPr>
          <w:rFonts w:ascii="Arial" w:hAnsi="Arial" w:cs="Arial"/>
          <w:sz w:val="24"/>
          <w:szCs w:val="24"/>
          <w:lang w:eastAsia="de-DE"/>
        </w:rPr>
        <w:t xml:space="preserve"> By analogy with the terminology of the </w:t>
      </w:r>
      <w:r w:rsidR="00BD2A6E">
        <w:rPr>
          <w:rFonts w:ascii="Arial" w:hAnsi="Arial" w:cs="Arial"/>
          <w:sz w:val="24"/>
          <w:szCs w:val="24"/>
          <w:lang w:eastAsia="de-DE"/>
        </w:rPr>
        <w:t>2007-2013 IPA</w:t>
      </w:r>
      <w:r w:rsidR="00E17BE2">
        <w:rPr>
          <w:rFonts w:ascii="Arial" w:hAnsi="Arial" w:cs="Arial"/>
          <w:sz w:val="24"/>
          <w:szCs w:val="24"/>
          <w:lang w:eastAsia="de-DE"/>
        </w:rPr>
        <w:t xml:space="preserve"> CBC legal framework, these operations </w:t>
      </w:r>
      <w:r w:rsidR="00135EA0">
        <w:rPr>
          <w:rFonts w:ascii="Arial" w:hAnsi="Arial" w:cs="Arial"/>
          <w:sz w:val="24"/>
          <w:szCs w:val="24"/>
          <w:lang w:eastAsia="de-DE"/>
        </w:rPr>
        <w:t xml:space="preserve">mostly </w:t>
      </w:r>
      <w:r w:rsidR="00E17BE2">
        <w:rPr>
          <w:rFonts w:ascii="Arial" w:hAnsi="Arial" w:cs="Arial"/>
          <w:sz w:val="24"/>
          <w:szCs w:val="24"/>
          <w:lang w:eastAsia="de-DE"/>
        </w:rPr>
        <w:t>identified outside calls for proposals are commonly known as ‘strategic projects’.</w:t>
      </w:r>
    </w:p>
    <w:p w:rsidR="001F1342" w:rsidRDefault="001F1342" w:rsidP="00316F9D">
      <w:pPr>
        <w:spacing w:after="0" w:line="240" w:lineRule="auto"/>
        <w:jc w:val="both"/>
        <w:rPr>
          <w:rFonts w:ascii="Arial" w:hAnsi="Arial" w:cs="Arial"/>
          <w:sz w:val="24"/>
          <w:szCs w:val="24"/>
          <w:lang w:eastAsia="de-DE"/>
        </w:rPr>
      </w:pPr>
    </w:p>
    <w:p w:rsidR="0075164D" w:rsidRDefault="0075164D" w:rsidP="0075164D">
      <w:pPr>
        <w:spacing w:before="120" w:after="120" w:line="240" w:lineRule="auto"/>
        <w:jc w:val="both"/>
        <w:rPr>
          <w:rFonts w:ascii="Arial" w:hAnsi="Arial" w:cs="Arial"/>
          <w:sz w:val="24"/>
          <w:szCs w:val="24"/>
        </w:rPr>
      </w:pPr>
      <w:r w:rsidRPr="00EA7397">
        <w:rPr>
          <w:rFonts w:ascii="Arial" w:eastAsia="Times New Roman" w:hAnsi="Arial" w:cs="Arial"/>
          <w:sz w:val="24"/>
          <w:szCs w:val="24"/>
          <w:lang w:eastAsia="de-DE"/>
        </w:rPr>
        <w:t xml:space="preserve">During the preparation of the </w:t>
      </w:r>
      <w:r w:rsidR="00BD2A6E" w:rsidRPr="00EA7397">
        <w:rPr>
          <w:rFonts w:ascii="Arial" w:eastAsia="Times New Roman" w:hAnsi="Arial" w:cs="Arial"/>
          <w:sz w:val="24"/>
          <w:szCs w:val="24"/>
          <w:lang w:eastAsia="de-DE"/>
        </w:rPr>
        <w:t xml:space="preserve">2014-2020 IPA II CBC </w:t>
      </w:r>
      <w:r w:rsidRPr="00EA7397">
        <w:rPr>
          <w:rFonts w:ascii="Arial" w:eastAsia="Times New Roman" w:hAnsi="Arial" w:cs="Arial"/>
          <w:sz w:val="24"/>
          <w:szCs w:val="24"/>
          <w:lang w:eastAsia="de-DE"/>
        </w:rPr>
        <w:t xml:space="preserve">programme documents no strategic projects </w:t>
      </w:r>
      <w:r w:rsidR="00BD2A6E" w:rsidRPr="00EA7397">
        <w:rPr>
          <w:rFonts w:ascii="Arial" w:eastAsia="Times New Roman" w:hAnsi="Arial" w:cs="Arial"/>
          <w:sz w:val="24"/>
          <w:szCs w:val="24"/>
          <w:lang w:eastAsia="de-DE"/>
        </w:rPr>
        <w:t>were</w:t>
      </w:r>
      <w:r w:rsidRPr="00EA7397">
        <w:rPr>
          <w:rFonts w:ascii="Arial" w:eastAsia="Times New Roman" w:hAnsi="Arial" w:cs="Arial"/>
          <w:sz w:val="24"/>
          <w:szCs w:val="24"/>
          <w:lang w:eastAsia="de-DE"/>
        </w:rPr>
        <w:t xml:space="preserve"> identified</w:t>
      </w:r>
      <w:r w:rsidR="00BD2A6E" w:rsidRPr="00EA7397">
        <w:rPr>
          <w:rFonts w:ascii="Arial" w:eastAsia="Times New Roman" w:hAnsi="Arial" w:cs="Arial"/>
          <w:sz w:val="24"/>
          <w:szCs w:val="24"/>
          <w:lang w:eastAsia="de-DE"/>
        </w:rPr>
        <w:t xml:space="preserve"> therein</w:t>
      </w:r>
      <w:r w:rsidRPr="00EA7397">
        <w:rPr>
          <w:rFonts w:ascii="Arial" w:eastAsia="Times New Roman" w:hAnsi="Arial" w:cs="Arial"/>
          <w:sz w:val="24"/>
          <w:szCs w:val="24"/>
          <w:lang w:eastAsia="de-DE"/>
        </w:rPr>
        <w:t>. However</w:t>
      </w:r>
      <w:r w:rsidR="00BD2A6E" w:rsidRPr="00EA7397">
        <w:rPr>
          <w:rFonts w:ascii="Arial" w:eastAsia="Times New Roman" w:hAnsi="Arial" w:cs="Arial"/>
          <w:sz w:val="24"/>
          <w:szCs w:val="24"/>
          <w:lang w:eastAsia="de-DE"/>
        </w:rPr>
        <w:t>,</w:t>
      </w:r>
      <w:r w:rsidRPr="00EA7397">
        <w:rPr>
          <w:rFonts w:ascii="Arial" w:eastAsia="Times New Roman" w:hAnsi="Arial" w:cs="Arial"/>
          <w:sz w:val="24"/>
          <w:szCs w:val="24"/>
          <w:lang w:eastAsia="de-DE"/>
        </w:rPr>
        <w:t xml:space="preserve"> during the programme implementation period</w:t>
      </w:r>
      <w:r w:rsidR="00BD2A6E" w:rsidRPr="00EA7397">
        <w:rPr>
          <w:rFonts w:ascii="Arial" w:eastAsia="Times New Roman" w:hAnsi="Arial" w:cs="Arial"/>
          <w:sz w:val="24"/>
          <w:szCs w:val="24"/>
          <w:lang w:eastAsia="de-DE"/>
        </w:rPr>
        <w:t>, the CBC programme documents envisaged the possibility of devoting</w:t>
      </w:r>
      <w:r w:rsidRPr="00EA7397">
        <w:rPr>
          <w:rFonts w:ascii="Arial" w:eastAsia="Times New Roman" w:hAnsi="Arial" w:cs="Arial"/>
          <w:sz w:val="24"/>
          <w:szCs w:val="24"/>
          <w:lang w:eastAsia="de-DE"/>
        </w:rPr>
        <w:t xml:space="preserve"> part of the financial allocation of the programme to one or more strategic projects. The identification of strategic projects </w:t>
      </w:r>
      <w:r w:rsidR="00BD2A6E" w:rsidRPr="00EA7397">
        <w:rPr>
          <w:rFonts w:ascii="Arial" w:eastAsia="Times New Roman" w:hAnsi="Arial" w:cs="Arial"/>
          <w:sz w:val="24"/>
          <w:szCs w:val="24"/>
          <w:lang w:eastAsia="de-DE"/>
        </w:rPr>
        <w:t>would</w:t>
      </w:r>
      <w:r w:rsidRPr="00EA7397">
        <w:rPr>
          <w:rFonts w:ascii="Arial" w:eastAsia="Times New Roman" w:hAnsi="Arial" w:cs="Arial"/>
          <w:sz w:val="24"/>
          <w:szCs w:val="24"/>
          <w:lang w:eastAsia="de-DE"/>
        </w:rPr>
        <w:t xml:space="preserve"> depend on whether </w:t>
      </w:r>
      <w:r w:rsidR="00D258A0" w:rsidRPr="00EA7397">
        <w:rPr>
          <w:rFonts w:ascii="Arial" w:eastAsia="Times New Roman" w:hAnsi="Arial" w:cs="Arial"/>
          <w:sz w:val="24"/>
          <w:szCs w:val="24"/>
          <w:lang w:eastAsia="de-DE"/>
        </w:rPr>
        <w:t>the CBC Beneficiaries prove to have a genuine</w:t>
      </w:r>
      <w:r w:rsidRPr="00EA7397">
        <w:rPr>
          <w:rFonts w:ascii="Arial" w:eastAsia="Times New Roman" w:hAnsi="Arial" w:cs="Arial"/>
          <w:sz w:val="24"/>
          <w:szCs w:val="24"/>
          <w:lang w:eastAsia="de-DE"/>
        </w:rPr>
        <w:t xml:space="preserve"> interest </w:t>
      </w:r>
      <w:r w:rsidR="00D258A0" w:rsidRPr="00EA7397">
        <w:rPr>
          <w:rFonts w:ascii="Arial" w:eastAsia="Times New Roman" w:hAnsi="Arial" w:cs="Arial"/>
          <w:sz w:val="24"/>
          <w:szCs w:val="24"/>
          <w:lang w:eastAsia="de-DE"/>
        </w:rPr>
        <w:t>in</w:t>
      </w:r>
      <w:r w:rsidRPr="00EA7397">
        <w:rPr>
          <w:rFonts w:ascii="Arial" w:eastAsia="Times New Roman" w:hAnsi="Arial" w:cs="Arial"/>
          <w:sz w:val="24"/>
          <w:szCs w:val="24"/>
          <w:lang w:eastAsia="de-DE"/>
        </w:rPr>
        <w:t xml:space="preserve"> address</w:t>
      </w:r>
      <w:r w:rsidR="00D258A0" w:rsidRPr="00EA7397">
        <w:rPr>
          <w:rFonts w:ascii="Arial" w:eastAsia="Times New Roman" w:hAnsi="Arial" w:cs="Arial"/>
          <w:sz w:val="24"/>
          <w:szCs w:val="24"/>
          <w:lang w:eastAsia="de-DE"/>
        </w:rPr>
        <w:t>ing</w:t>
      </w:r>
      <w:r w:rsidRPr="00EA7397">
        <w:rPr>
          <w:rFonts w:ascii="Arial" w:eastAsia="Times New Roman" w:hAnsi="Arial" w:cs="Arial"/>
          <w:sz w:val="24"/>
          <w:szCs w:val="24"/>
          <w:lang w:eastAsia="de-DE"/>
        </w:rPr>
        <w:t xml:space="preserve"> specific strategic priorities</w:t>
      </w:r>
      <w:r w:rsidR="00D258A0" w:rsidRPr="00EA7397">
        <w:rPr>
          <w:rFonts w:ascii="Arial" w:eastAsia="Times New Roman" w:hAnsi="Arial" w:cs="Arial"/>
          <w:sz w:val="24"/>
          <w:szCs w:val="24"/>
          <w:lang w:eastAsia="de-DE"/>
        </w:rPr>
        <w:t>,</w:t>
      </w:r>
      <w:r w:rsidRPr="00EA7397">
        <w:rPr>
          <w:rFonts w:ascii="Arial" w:eastAsia="Times New Roman" w:hAnsi="Arial" w:cs="Arial"/>
          <w:sz w:val="24"/>
          <w:szCs w:val="24"/>
          <w:lang w:eastAsia="de-DE"/>
        </w:rPr>
        <w:t xml:space="preserve"> which clearly follow common objectives and</w:t>
      </w:r>
      <w:r w:rsidR="00D258A0" w:rsidRPr="00EA7397">
        <w:rPr>
          <w:rFonts w:ascii="Arial" w:eastAsia="Times New Roman" w:hAnsi="Arial" w:cs="Arial"/>
          <w:sz w:val="24"/>
          <w:szCs w:val="24"/>
          <w:lang w:eastAsia="de-DE"/>
        </w:rPr>
        <w:t xml:space="preserve"> entail</w:t>
      </w:r>
      <w:r w:rsidRPr="00EA7397">
        <w:rPr>
          <w:rFonts w:ascii="Arial" w:eastAsia="Times New Roman" w:hAnsi="Arial" w:cs="Arial"/>
          <w:sz w:val="24"/>
          <w:szCs w:val="24"/>
          <w:lang w:eastAsia="de-DE"/>
        </w:rPr>
        <w:t xml:space="preserve"> a clear cross-border impact.</w:t>
      </w:r>
      <w:r w:rsidRPr="009A70AF">
        <w:rPr>
          <w:rFonts w:ascii="Arial" w:eastAsia="Times New Roman" w:hAnsi="Arial" w:cs="Arial"/>
          <w:sz w:val="24"/>
          <w:szCs w:val="24"/>
          <w:lang w:eastAsia="de-DE"/>
        </w:rPr>
        <w:t xml:space="preserve"> </w:t>
      </w:r>
    </w:p>
    <w:p w:rsidR="0075164D" w:rsidRDefault="0075164D" w:rsidP="00316F9D">
      <w:pPr>
        <w:spacing w:after="0" w:line="240" w:lineRule="auto"/>
        <w:jc w:val="both"/>
        <w:rPr>
          <w:rFonts w:ascii="Arial" w:hAnsi="Arial" w:cs="Arial"/>
          <w:sz w:val="24"/>
          <w:szCs w:val="24"/>
          <w:lang w:eastAsia="de-DE"/>
        </w:rPr>
      </w:pPr>
    </w:p>
    <w:p w:rsidR="001F1342" w:rsidRDefault="001F1342" w:rsidP="00316F9D">
      <w:pPr>
        <w:spacing w:after="0" w:line="240" w:lineRule="auto"/>
        <w:jc w:val="both"/>
        <w:rPr>
          <w:rFonts w:ascii="Arial" w:hAnsi="Arial" w:cs="Arial"/>
          <w:sz w:val="24"/>
          <w:szCs w:val="24"/>
          <w:lang w:eastAsia="de-DE"/>
        </w:rPr>
      </w:pPr>
      <w:r>
        <w:rPr>
          <w:rFonts w:ascii="Arial" w:hAnsi="Arial" w:cs="Arial"/>
          <w:sz w:val="24"/>
          <w:szCs w:val="24"/>
          <w:lang w:eastAsia="de-DE"/>
        </w:rPr>
        <w:t xml:space="preserve">The table below shows </w:t>
      </w:r>
      <w:r w:rsidR="009A5368">
        <w:rPr>
          <w:rFonts w:ascii="Arial" w:hAnsi="Arial" w:cs="Arial"/>
          <w:sz w:val="24"/>
          <w:szCs w:val="24"/>
          <w:lang w:eastAsia="de-DE"/>
        </w:rPr>
        <w:t>to which extent operations outside calls for proposals are specifically mentioned in the e</w:t>
      </w:r>
      <w:r>
        <w:rPr>
          <w:rFonts w:ascii="Arial" w:hAnsi="Arial" w:cs="Arial"/>
          <w:sz w:val="24"/>
          <w:szCs w:val="24"/>
          <w:lang w:eastAsia="de-DE"/>
        </w:rPr>
        <w:t>ight programme documents</w:t>
      </w:r>
      <w:r w:rsidR="00135EA0">
        <w:rPr>
          <w:rFonts w:ascii="Arial" w:hAnsi="Arial" w:cs="Arial"/>
          <w:sz w:val="24"/>
          <w:szCs w:val="24"/>
          <w:lang w:eastAsia="de-DE"/>
        </w:rPr>
        <w:t>,</w:t>
      </w:r>
      <w:r w:rsidR="00135EA0" w:rsidRPr="00135EA0">
        <w:rPr>
          <w:rFonts w:ascii="Arial" w:hAnsi="Arial" w:cs="Arial"/>
          <w:sz w:val="24"/>
          <w:szCs w:val="24"/>
          <w:lang w:eastAsia="de-DE"/>
        </w:rPr>
        <w:t xml:space="preserve"> </w:t>
      </w:r>
      <w:r w:rsidR="00135EA0">
        <w:rPr>
          <w:rFonts w:ascii="Arial" w:hAnsi="Arial" w:cs="Arial"/>
          <w:sz w:val="24"/>
          <w:szCs w:val="24"/>
          <w:lang w:eastAsia="de-DE"/>
        </w:rPr>
        <w:t>adopted by Commission implementing decision in December 2014</w:t>
      </w:r>
      <w:r w:rsidR="00AA09D4">
        <w:rPr>
          <w:rFonts w:ascii="Arial" w:hAnsi="Arial" w:cs="Arial"/>
          <w:sz w:val="24"/>
          <w:szCs w:val="24"/>
          <w:lang w:eastAsia="de-DE"/>
        </w:rPr>
        <w:t xml:space="preserve"> and November 2016</w:t>
      </w:r>
      <w:r w:rsidR="00135EA0">
        <w:rPr>
          <w:rFonts w:ascii="Arial" w:hAnsi="Arial" w:cs="Arial"/>
          <w:sz w:val="24"/>
          <w:szCs w:val="24"/>
          <w:lang w:eastAsia="de-DE"/>
        </w:rPr>
        <w:t>,</w:t>
      </w:r>
      <w:r>
        <w:rPr>
          <w:rFonts w:ascii="Arial" w:hAnsi="Arial" w:cs="Arial"/>
          <w:sz w:val="24"/>
          <w:szCs w:val="24"/>
          <w:lang w:eastAsia="de-DE"/>
        </w:rPr>
        <w:t xml:space="preserve"> for </w:t>
      </w:r>
      <w:r w:rsidR="009A5368">
        <w:rPr>
          <w:rFonts w:ascii="Arial" w:hAnsi="Arial" w:cs="Arial"/>
          <w:sz w:val="24"/>
          <w:szCs w:val="24"/>
          <w:lang w:eastAsia="de-DE"/>
        </w:rPr>
        <w:t xml:space="preserve">IPA II </w:t>
      </w:r>
      <w:r>
        <w:rPr>
          <w:rFonts w:ascii="Arial" w:hAnsi="Arial" w:cs="Arial"/>
          <w:sz w:val="24"/>
          <w:szCs w:val="24"/>
          <w:lang w:eastAsia="de-DE"/>
        </w:rPr>
        <w:t>CBC between beneficiaries</w:t>
      </w:r>
      <w:r w:rsidR="009A5368">
        <w:rPr>
          <w:rFonts w:ascii="Arial" w:hAnsi="Arial" w:cs="Arial"/>
          <w:sz w:val="24"/>
          <w:szCs w:val="24"/>
          <w:lang w:eastAsia="de-DE"/>
        </w:rPr>
        <w:t>.</w:t>
      </w:r>
    </w:p>
    <w:p w:rsidR="009A5368" w:rsidRDefault="009A5368" w:rsidP="00316F9D">
      <w:pPr>
        <w:spacing w:after="0" w:line="240" w:lineRule="auto"/>
        <w:jc w:val="both"/>
        <w:rPr>
          <w:rFonts w:ascii="Arial" w:hAnsi="Arial" w:cs="Arial"/>
          <w:sz w:val="24"/>
          <w:szCs w:val="24"/>
          <w:lang w:eastAsia="de-DE"/>
        </w:rPr>
      </w:pPr>
    </w:p>
    <w:p w:rsidR="009A5368" w:rsidRDefault="009A5368" w:rsidP="00316F9D">
      <w:pPr>
        <w:spacing w:after="0" w:line="240" w:lineRule="auto"/>
        <w:jc w:val="both"/>
        <w:rPr>
          <w:rFonts w:ascii="Arial" w:hAnsi="Arial" w:cs="Arial"/>
          <w:sz w:val="24"/>
          <w:szCs w:val="24"/>
          <w:lang w:eastAsia="de-DE"/>
        </w:rPr>
      </w:pPr>
    </w:p>
    <w:tbl>
      <w:tblPr>
        <w:tblStyle w:val="TableGrid"/>
        <w:tblW w:w="0" w:type="auto"/>
        <w:tblInd w:w="108" w:type="dxa"/>
        <w:tblLook w:val="04A0"/>
      </w:tblPr>
      <w:tblGrid>
        <w:gridCol w:w="630"/>
        <w:gridCol w:w="1550"/>
        <w:gridCol w:w="1330"/>
        <w:gridCol w:w="5624"/>
      </w:tblGrid>
      <w:tr w:rsidR="00286C98" w:rsidRPr="009A66B6" w:rsidTr="00286C98">
        <w:trPr>
          <w:tblHeader/>
        </w:trPr>
        <w:tc>
          <w:tcPr>
            <w:tcW w:w="630"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Pr>
                <w:rFonts w:ascii="Arial" w:hAnsi="Arial" w:cs="Arial"/>
                <w:b/>
                <w:color w:val="FFFFFF" w:themeColor="background1"/>
                <w:sz w:val="24"/>
                <w:szCs w:val="24"/>
                <w:lang w:val="en-US"/>
              </w:rPr>
              <w:t>No</w:t>
            </w:r>
          </w:p>
        </w:tc>
        <w:tc>
          <w:tcPr>
            <w:tcW w:w="1550"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Programme</w:t>
            </w:r>
          </w:p>
        </w:tc>
        <w:tc>
          <w:tcPr>
            <w:tcW w:w="1330" w:type="dxa"/>
            <w:shd w:val="clear" w:color="auto" w:fill="1F497D" w:themeFill="text2"/>
          </w:tcPr>
          <w:p w:rsidR="00286C98" w:rsidRPr="009A66B6" w:rsidRDefault="00286C98" w:rsidP="009A5368">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Yes/No</w:t>
            </w:r>
          </w:p>
        </w:tc>
        <w:tc>
          <w:tcPr>
            <w:tcW w:w="5624"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Comment</w:t>
            </w:r>
          </w:p>
        </w:tc>
      </w:tr>
      <w:tr w:rsidR="00286C98" w:rsidTr="00286C98">
        <w:tc>
          <w:tcPr>
            <w:tcW w:w="630" w:type="dxa"/>
          </w:tcPr>
          <w:p w:rsidR="00286C98" w:rsidRDefault="00286C98" w:rsidP="00732137">
            <w:pPr>
              <w:rPr>
                <w:rFonts w:ascii="Arial" w:hAnsi="Arial" w:cs="Arial"/>
                <w:sz w:val="24"/>
                <w:szCs w:val="24"/>
                <w:lang w:val="en-US"/>
              </w:rPr>
            </w:pPr>
            <w:r>
              <w:rPr>
                <w:rFonts w:ascii="Arial" w:hAnsi="Arial" w:cs="Arial"/>
                <w:sz w:val="24"/>
                <w:szCs w:val="24"/>
                <w:lang w:val="en-US"/>
              </w:rPr>
              <w:t>1</w:t>
            </w:r>
          </w:p>
        </w:tc>
        <w:tc>
          <w:tcPr>
            <w:tcW w:w="1550" w:type="dxa"/>
          </w:tcPr>
          <w:p w:rsidR="00286C98" w:rsidRDefault="00286C98" w:rsidP="00732137">
            <w:pPr>
              <w:rPr>
                <w:rFonts w:ascii="Arial" w:hAnsi="Arial" w:cs="Arial"/>
                <w:sz w:val="24"/>
                <w:szCs w:val="24"/>
                <w:lang w:val="en-US"/>
              </w:rPr>
            </w:pPr>
            <w:r>
              <w:rPr>
                <w:rFonts w:ascii="Arial" w:hAnsi="Arial" w:cs="Arial"/>
                <w:sz w:val="24"/>
                <w:szCs w:val="24"/>
                <w:lang w:val="en-US"/>
              </w:rPr>
              <w:t>AL-KS</w:t>
            </w:r>
            <w:r>
              <w:rPr>
                <w:rStyle w:val="FootnoteReference"/>
                <w:rFonts w:cs="Arial"/>
                <w:szCs w:val="24"/>
                <w:lang w:val="en-US"/>
              </w:rPr>
              <w:footnoteReference w:customMarkFollows="1" w:id="1"/>
              <w:t>*</w:t>
            </w:r>
          </w:p>
        </w:tc>
        <w:tc>
          <w:tcPr>
            <w:tcW w:w="1330" w:type="dxa"/>
          </w:tcPr>
          <w:p w:rsidR="00286C98" w:rsidRDefault="00286C98" w:rsidP="00732137">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732137">
            <w:pPr>
              <w:rPr>
                <w:rFonts w:ascii="Arial" w:hAnsi="Arial" w:cs="Arial"/>
                <w:sz w:val="24"/>
                <w:szCs w:val="24"/>
                <w:lang w:val="en-US"/>
              </w:rPr>
            </w:pPr>
            <w:r>
              <w:rPr>
                <w:rFonts w:ascii="Arial" w:hAnsi="Arial" w:cs="Arial"/>
                <w:sz w:val="24"/>
                <w:szCs w:val="24"/>
                <w:lang w:val="en-US"/>
              </w:rPr>
              <w:t>No strategic project identified in the document.</w:t>
            </w:r>
          </w:p>
          <w:p w:rsidR="00286C98" w:rsidRDefault="00286C98" w:rsidP="00732137">
            <w:pPr>
              <w:rPr>
                <w:rFonts w:ascii="Arial" w:hAnsi="Arial" w:cs="Arial"/>
                <w:sz w:val="24"/>
                <w:szCs w:val="24"/>
                <w:lang w:val="en-US"/>
              </w:rPr>
            </w:pPr>
            <w:r>
              <w:rPr>
                <w:rFonts w:ascii="Arial" w:hAnsi="Arial" w:cs="Arial"/>
                <w:sz w:val="24"/>
                <w:szCs w:val="24"/>
                <w:lang w:val="en-US"/>
              </w:rPr>
              <w:t>Selection through specially tailored calls for this type of projects or selection outside calls for proposals, in either case under the thematic priorities dealing with environment and tourism.</w:t>
            </w:r>
          </w:p>
          <w:p w:rsidR="00286C98" w:rsidRDefault="00286C98" w:rsidP="00732137">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2</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BA-MNE</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662E69">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662E69">
            <w:pPr>
              <w:jc w:val="both"/>
              <w:rPr>
                <w:rFonts w:ascii="Arial" w:hAnsi="Arial" w:cs="Arial"/>
                <w:sz w:val="24"/>
                <w:szCs w:val="24"/>
              </w:rPr>
            </w:pPr>
            <w:r>
              <w:rPr>
                <w:rFonts w:ascii="Arial" w:hAnsi="Arial" w:cs="Arial"/>
                <w:sz w:val="24"/>
                <w:szCs w:val="24"/>
              </w:rPr>
              <w:t xml:space="preserve">Selection through specially tailored calls or outside calls for proposals, in either case under the thematic priority dealing with environment. </w:t>
            </w:r>
          </w:p>
          <w:p w:rsidR="00286C98" w:rsidRPr="00662E69" w:rsidRDefault="00286C98" w:rsidP="00662E69">
            <w:pPr>
              <w:spacing w:after="120"/>
              <w:jc w:val="both"/>
              <w:rPr>
                <w:rFonts w:ascii="Arial" w:hAnsi="Arial" w:cs="Arial"/>
                <w:sz w:val="24"/>
                <w:szCs w:val="24"/>
              </w:rPr>
            </w:pPr>
          </w:p>
        </w:tc>
      </w:tr>
      <w:tr w:rsidR="00286C98" w:rsidTr="00286C98">
        <w:tc>
          <w:tcPr>
            <w:tcW w:w="630" w:type="dxa"/>
          </w:tcPr>
          <w:p w:rsidR="00286C98" w:rsidRDefault="00286C98" w:rsidP="00662E69">
            <w:pPr>
              <w:rPr>
                <w:rFonts w:ascii="Arial" w:hAnsi="Arial" w:cs="Arial"/>
                <w:sz w:val="24"/>
                <w:szCs w:val="24"/>
                <w:lang w:val="en-US"/>
              </w:rPr>
            </w:pPr>
            <w:r>
              <w:rPr>
                <w:rFonts w:ascii="Arial" w:hAnsi="Arial" w:cs="Arial"/>
                <w:sz w:val="24"/>
                <w:szCs w:val="24"/>
                <w:lang w:val="en-US"/>
              </w:rPr>
              <w:t>3</w:t>
            </w:r>
          </w:p>
        </w:tc>
        <w:tc>
          <w:tcPr>
            <w:tcW w:w="1550" w:type="dxa"/>
          </w:tcPr>
          <w:p w:rsidR="00286C98" w:rsidRDefault="00286C98" w:rsidP="00662E69">
            <w:pPr>
              <w:rPr>
                <w:rFonts w:ascii="Arial" w:hAnsi="Arial" w:cs="Arial"/>
                <w:sz w:val="24"/>
                <w:szCs w:val="24"/>
                <w:lang w:val="en-US"/>
              </w:rPr>
            </w:pPr>
            <w:r>
              <w:rPr>
                <w:rFonts w:ascii="Arial" w:hAnsi="Arial" w:cs="Arial"/>
                <w:sz w:val="24"/>
                <w:szCs w:val="24"/>
                <w:lang w:val="en-US"/>
              </w:rPr>
              <w:t>KS-MK</w:t>
            </w:r>
          </w:p>
        </w:tc>
        <w:tc>
          <w:tcPr>
            <w:tcW w:w="1330" w:type="dxa"/>
          </w:tcPr>
          <w:p w:rsidR="00286C98" w:rsidRDefault="00286C98" w:rsidP="00662E69">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9101C">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B9101C">
            <w:pPr>
              <w:jc w:val="both"/>
              <w:rPr>
                <w:rFonts w:ascii="Arial" w:hAnsi="Arial" w:cs="Arial"/>
                <w:sz w:val="24"/>
                <w:szCs w:val="24"/>
              </w:rPr>
            </w:pPr>
            <w:r>
              <w:rPr>
                <w:rFonts w:ascii="Arial" w:hAnsi="Arial" w:cs="Arial"/>
                <w:sz w:val="24"/>
                <w:szCs w:val="24"/>
              </w:rPr>
              <w:t xml:space="preserve">Selection through specially tailored calls or outside calls for proposals, in either case under the thematic priority dealing with environment. </w:t>
            </w:r>
          </w:p>
          <w:p w:rsidR="00286C98" w:rsidRDefault="00286C98" w:rsidP="00662E69">
            <w:pPr>
              <w:rPr>
                <w:rFonts w:ascii="Arial" w:hAnsi="Arial" w:cs="Arial"/>
                <w:sz w:val="24"/>
                <w:szCs w:val="24"/>
                <w:lang w:val="en-US"/>
              </w:rPr>
            </w:pPr>
          </w:p>
        </w:tc>
      </w:tr>
      <w:tr w:rsidR="00286C98" w:rsidTr="00286C98">
        <w:tc>
          <w:tcPr>
            <w:tcW w:w="630" w:type="dxa"/>
          </w:tcPr>
          <w:p w:rsidR="00286C98" w:rsidRDefault="00286C98" w:rsidP="00B9101C">
            <w:pPr>
              <w:rPr>
                <w:rFonts w:ascii="Arial" w:hAnsi="Arial" w:cs="Arial"/>
                <w:sz w:val="24"/>
                <w:szCs w:val="24"/>
                <w:lang w:val="en-US"/>
              </w:rPr>
            </w:pPr>
            <w:r>
              <w:rPr>
                <w:rFonts w:ascii="Arial" w:hAnsi="Arial" w:cs="Arial"/>
                <w:sz w:val="24"/>
                <w:szCs w:val="24"/>
                <w:lang w:val="en-US"/>
              </w:rPr>
              <w:lastRenderedPageBreak/>
              <w:t>4</w:t>
            </w:r>
          </w:p>
        </w:tc>
        <w:tc>
          <w:tcPr>
            <w:tcW w:w="1550" w:type="dxa"/>
          </w:tcPr>
          <w:p w:rsidR="00286C98" w:rsidRDefault="00286C98" w:rsidP="00B9101C">
            <w:pPr>
              <w:rPr>
                <w:rFonts w:ascii="Arial" w:hAnsi="Arial" w:cs="Arial"/>
                <w:sz w:val="24"/>
                <w:szCs w:val="24"/>
                <w:lang w:val="en-US"/>
              </w:rPr>
            </w:pPr>
            <w:r>
              <w:rPr>
                <w:rFonts w:ascii="Arial" w:hAnsi="Arial" w:cs="Arial"/>
                <w:sz w:val="24"/>
                <w:szCs w:val="24"/>
                <w:lang w:val="en-US"/>
              </w:rPr>
              <w:t>MK-AL</w:t>
            </w:r>
          </w:p>
        </w:tc>
        <w:tc>
          <w:tcPr>
            <w:tcW w:w="1330" w:type="dxa"/>
          </w:tcPr>
          <w:p w:rsidR="00286C98" w:rsidRDefault="00286C98" w:rsidP="00B9101C">
            <w:pPr>
              <w:rPr>
                <w:rFonts w:ascii="Arial" w:hAnsi="Arial" w:cs="Arial"/>
                <w:sz w:val="24"/>
                <w:szCs w:val="24"/>
                <w:lang w:val="en-US"/>
              </w:rPr>
            </w:pPr>
            <w:r w:rsidRPr="00135EA0">
              <w:rPr>
                <w:rFonts w:ascii="Arial" w:hAnsi="Arial" w:cs="Arial"/>
                <w:b/>
                <w:sz w:val="24"/>
                <w:szCs w:val="24"/>
                <w:lang w:val="en-US"/>
              </w:rPr>
              <w:t>N</w:t>
            </w:r>
            <w:r>
              <w:rPr>
                <w:rFonts w:ascii="Arial" w:hAnsi="Arial" w:cs="Arial"/>
                <w:b/>
                <w:sz w:val="24"/>
                <w:szCs w:val="24"/>
                <w:lang w:val="en-US"/>
              </w:rPr>
              <w:t>o</w:t>
            </w:r>
            <w:r>
              <w:rPr>
                <w:rFonts w:ascii="Arial" w:hAnsi="Arial" w:cs="Arial"/>
                <w:sz w:val="24"/>
                <w:szCs w:val="24"/>
                <w:lang w:val="en-US"/>
              </w:rPr>
              <w:t xml:space="preserve"> (cf. section 5)</w:t>
            </w:r>
          </w:p>
        </w:tc>
        <w:tc>
          <w:tcPr>
            <w:tcW w:w="5624" w:type="dxa"/>
          </w:tcPr>
          <w:p w:rsidR="00286C98" w:rsidRDefault="00286C98" w:rsidP="00B9101C">
            <w:pPr>
              <w:rPr>
                <w:rFonts w:ascii="Arial" w:hAnsi="Arial" w:cs="Arial"/>
                <w:sz w:val="24"/>
                <w:szCs w:val="24"/>
                <w:lang w:val="en-US"/>
              </w:rPr>
            </w:pPr>
            <w:r>
              <w:rPr>
                <w:rFonts w:ascii="Arial" w:hAnsi="Arial" w:cs="Arial"/>
                <w:sz w:val="24"/>
                <w:szCs w:val="24"/>
                <w:lang w:val="en-US"/>
              </w:rPr>
              <w:t>No strategic project identified in the document. No call for strategic projects is envisaged under the programme.</w:t>
            </w:r>
          </w:p>
          <w:p w:rsidR="00286C98" w:rsidRDefault="00286C98" w:rsidP="00B9101C">
            <w:pPr>
              <w:rPr>
                <w:rFonts w:ascii="Arial" w:hAnsi="Arial" w:cs="Arial"/>
                <w:sz w:val="24"/>
                <w:szCs w:val="24"/>
                <w:lang w:val="en-US"/>
              </w:rPr>
            </w:pPr>
          </w:p>
        </w:tc>
      </w:tr>
      <w:tr w:rsidR="00286C98" w:rsidTr="00286C98">
        <w:tc>
          <w:tcPr>
            <w:tcW w:w="630" w:type="dxa"/>
          </w:tcPr>
          <w:p w:rsidR="00286C98" w:rsidRDefault="00286C98" w:rsidP="00B9101C">
            <w:pPr>
              <w:rPr>
                <w:rFonts w:ascii="Arial" w:hAnsi="Arial" w:cs="Arial"/>
                <w:sz w:val="24"/>
                <w:szCs w:val="24"/>
                <w:lang w:val="en-US"/>
              </w:rPr>
            </w:pPr>
            <w:r>
              <w:rPr>
                <w:rFonts w:ascii="Arial" w:hAnsi="Arial" w:cs="Arial"/>
                <w:sz w:val="24"/>
                <w:szCs w:val="24"/>
                <w:lang w:val="en-US"/>
              </w:rPr>
              <w:t>5</w:t>
            </w:r>
          </w:p>
        </w:tc>
        <w:tc>
          <w:tcPr>
            <w:tcW w:w="1550" w:type="dxa"/>
          </w:tcPr>
          <w:p w:rsidR="00286C98" w:rsidRDefault="00286C98" w:rsidP="00B9101C">
            <w:pPr>
              <w:rPr>
                <w:rFonts w:ascii="Arial" w:hAnsi="Arial" w:cs="Arial"/>
                <w:sz w:val="24"/>
                <w:szCs w:val="24"/>
                <w:lang w:val="en-US"/>
              </w:rPr>
            </w:pPr>
            <w:r>
              <w:rPr>
                <w:rFonts w:ascii="Arial" w:hAnsi="Arial" w:cs="Arial"/>
                <w:sz w:val="24"/>
                <w:szCs w:val="24"/>
                <w:lang w:val="en-US"/>
              </w:rPr>
              <w:t>MNE-AL</w:t>
            </w:r>
          </w:p>
        </w:tc>
        <w:tc>
          <w:tcPr>
            <w:tcW w:w="1330" w:type="dxa"/>
          </w:tcPr>
          <w:p w:rsidR="00286C98" w:rsidRDefault="00286C98" w:rsidP="00B9101C">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9101C">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B9101C">
            <w:pPr>
              <w:jc w:val="both"/>
              <w:rPr>
                <w:rFonts w:ascii="Arial" w:hAnsi="Arial" w:cs="Arial"/>
                <w:sz w:val="24"/>
                <w:szCs w:val="24"/>
              </w:rPr>
            </w:pPr>
            <w:r>
              <w:rPr>
                <w:rFonts w:ascii="Arial" w:hAnsi="Arial" w:cs="Arial"/>
                <w:sz w:val="24"/>
                <w:szCs w:val="24"/>
              </w:rPr>
              <w:t>Selection through specially tailored calls or outside calls for proposals, in either case under the thematic priority dealing with environment.</w:t>
            </w:r>
          </w:p>
          <w:p w:rsidR="00286C98" w:rsidRPr="00B9101C" w:rsidRDefault="00286C98" w:rsidP="00B9101C">
            <w:pPr>
              <w:rPr>
                <w:rFonts w:ascii="Arial" w:hAnsi="Arial" w:cs="Arial"/>
                <w:sz w:val="24"/>
                <w:szCs w:val="24"/>
              </w:rPr>
            </w:pPr>
          </w:p>
        </w:tc>
      </w:tr>
      <w:tr w:rsidR="00286C98" w:rsidTr="00286C98">
        <w:tc>
          <w:tcPr>
            <w:tcW w:w="630" w:type="dxa"/>
          </w:tcPr>
          <w:p w:rsidR="00286C98" w:rsidRDefault="00286C98" w:rsidP="00B47636">
            <w:pPr>
              <w:rPr>
                <w:rFonts w:ascii="Arial" w:hAnsi="Arial" w:cs="Arial"/>
                <w:sz w:val="24"/>
                <w:szCs w:val="24"/>
                <w:lang w:val="en-US"/>
              </w:rPr>
            </w:pPr>
            <w:r>
              <w:rPr>
                <w:rFonts w:ascii="Arial" w:hAnsi="Arial" w:cs="Arial"/>
                <w:sz w:val="24"/>
                <w:szCs w:val="24"/>
                <w:lang w:val="en-US"/>
              </w:rPr>
              <w:t>6</w:t>
            </w:r>
          </w:p>
        </w:tc>
        <w:tc>
          <w:tcPr>
            <w:tcW w:w="1550" w:type="dxa"/>
          </w:tcPr>
          <w:p w:rsidR="00286C98" w:rsidRDefault="00286C98" w:rsidP="00B47636">
            <w:pPr>
              <w:rPr>
                <w:rFonts w:ascii="Arial" w:hAnsi="Arial" w:cs="Arial"/>
                <w:sz w:val="24"/>
                <w:szCs w:val="24"/>
                <w:lang w:val="en-US"/>
              </w:rPr>
            </w:pPr>
            <w:r>
              <w:rPr>
                <w:rFonts w:ascii="Arial" w:hAnsi="Arial" w:cs="Arial"/>
                <w:sz w:val="24"/>
                <w:szCs w:val="24"/>
                <w:lang w:val="en-US"/>
              </w:rPr>
              <w:t>MNE-KS</w:t>
            </w:r>
          </w:p>
        </w:tc>
        <w:tc>
          <w:tcPr>
            <w:tcW w:w="1330" w:type="dxa"/>
          </w:tcPr>
          <w:p w:rsidR="00286C98" w:rsidRDefault="00286C98" w:rsidP="00B47636">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47636">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B47636">
            <w:pPr>
              <w:rPr>
                <w:rFonts w:ascii="Arial" w:hAnsi="Arial" w:cs="Arial"/>
                <w:sz w:val="24"/>
                <w:szCs w:val="24"/>
              </w:rPr>
            </w:pPr>
            <w:r>
              <w:rPr>
                <w:rFonts w:ascii="Arial" w:hAnsi="Arial" w:cs="Arial"/>
                <w:sz w:val="24"/>
                <w:szCs w:val="24"/>
              </w:rPr>
              <w:t>Selection through specially tailored calls or outside calls for proposals for any thematic priority.</w:t>
            </w:r>
          </w:p>
          <w:p w:rsidR="00286C98" w:rsidRDefault="00286C98" w:rsidP="00B47636">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7</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RS-BA</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A10833">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A10833">
            <w:pPr>
              <w:rPr>
                <w:rFonts w:ascii="Arial" w:hAnsi="Arial" w:cs="Arial"/>
                <w:sz w:val="24"/>
                <w:szCs w:val="24"/>
              </w:rPr>
            </w:pPr>
            <w:r>
              <w:rPr>
                <w:rFonts w:ascii="Arial" w:hAnsi="Arial" w:cs="Arial"/>
                <w:sz w:val="24"/>
                <w:szCs w:val="24"/>
              </w:rPr>
              <w:t>Selection through specially tailored calls or outside calls for proposals, in either case under the thematic priority dealing with environment.</w:t>
            </w:r>
          </w:p>
          <w:p w:rsidR="00286C98" w:rsidRPr="000E474E" w:rsidRDefault="00286C98" w:rsidP="00A10833">
            <w:pPr>
              <w:rPr>
                <w:rFonts w:ascii="Arial" w:hAnsi="Arial" w:cs="Arial"/>
                <w:sz w:val="24"/>
                <w:szCs w:val="24"/>
                <w:lang w:val="en-US"/>
              </w:rPr>
            </w:pPr>
            <w:r w:rsidRPr="000E474E">
              <w:rPr>
                <w:rFonts w:ascii="Arial" w:hAnsi="Arial" w:cs="Arial"/>
                <w:sz w:val="24"/>
                <w:szCs w:val="24"/>
                <w:lang w:val="en-US"/>
              </w:rPr>
              <w:t>Linkage with macro-regional strategies.</w:t>
            </w:r>
          </w:p>
          <w:p w:rsidR="00286C98" w:rsidRDefault="00286C98" w:rsidP="00A10833">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8</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RS-MNE</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A10833">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A10833">
            <w:pPr>
              <w:rPr>
                <w:rFonts w:ascii="Arial" w:hAnsi="Arial" w:cs="Arial"/>
                <w:sz w:val="24"/>
                <w:szCs w:val="24"/>
              </w:rPr>
            </w:pPr>
            <w:r>
              <w:rPr>
                <w:rFonts w:ascii="Arial" w:hAnsi="Arial" w:cs="Arial"/>
                <w:sz w:val="24"/>
                <w:szCs w:val="24"/>
              </w:rPr>
              <w:t xml:space="preserve">Selection through specially tailored calls or outside calls for proposals. </w:t>
            </w:r>
          </w:p>
          <w:p w:rsidR="00286C98" w:rsidRDefault="00286C98" w:rsidP="00A10833">
            <w:pPr>
              <w:rPr>
                <w:rFonts w:ascii="Arial" w:hAnsi="Arial" w:cs="Arial"/>
                <w:sz w:val="24"/>
                <w:szCs w:val="24"/>
                <w:lang w:val="en-US"/>
              </w:rPr>
            </w:pPr>
            <w:r>
              <w:rPr>
                <w:rFonts w:ascii="Arial" w:hAnsi="Arial" w:cs="Arial"/>
                <w:sz w:val="24"/>
                <w:szCs w:val="24"/>
                <w:lang w:val="en-US"/>
              </w:rPr>
              <w:t>Linkage with macro-regional strategies.</w:t>
            </w:r>
          </w:p>
          <w:p w:rsidR="00286C98" w:rsidRDefault="00286C98" w:rsidP="00A10833">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9</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RS-MK</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Pr="00AA09D4" w:rsidRDefault="00286C98" w:rsidP="00AA09D4">
            <w:pPr>
              <w:jc w:val="both"/>
              <w:rPr>
                <w:rFonts w:ascii="Arial" w:hAnsi="Arial" w:cs="Arial"/>
                <w:sz w:val="24"/>
                <w:szCs w:val="24"/>
              </w:rPr>
            </w:pPr>
            <w:r w:rsidRPr="00AA09D4">
              <w:rPr>
                <w:rFonts w:ascii="Arial" w:hAnsi="Arial" w:cs="Arial"/>
                <w:sz w:val="24"/>
                <w:szCs w:val="24"/>
              </w:rPr>
              <w:t>No strategic project identified in the document.</w:t>
            </w:r>
          </w:p>
          <w:p w:rsidR="00286C98" w:rsidRPr="00AA09D4" w:rsidRDefault="00286C98" w:rsidP="00AA09D4">
            <w:pPr>
              <w:rPr>
                <w:rFonts w:ascii="Arial" w:hAnsi="Arial" w:cs="Arial"/>
                <w:sz w:val="24"/>
                <w:szCs w:val="24"/>
              </w:rPr>
            </w:pPr>
            <w:r w:rsidRPr="00012238">
              <w:rPr>
                <w:rFonts w:ascii="Arial" w:hAnsi="Arial" w:cs="Arial"/>
                <w:sz w:val="24"/>
                <w:szCs w:val="24"/>
              </w:rPr>
              <w:t>Selection through specially tailored calls or outside calls for proposals.</w:t>
            </w:r>
            <w:r w:rsidRPr="000426AC">
              <w:rPr>
                <w:rFonts w:ascii="Arial" w:hAnsi="Arial" w:cs="Arial"/>
                <w:sz w:val="24"/>
                <w:szCs w:val="24"/>
              </w:rPr>
              <w:t xml:space="preserve"> </w:t>
            </w:r>
            <w:r w:rsidRPr="00AA09D4">
              <w:rPr>
                <w:sz w:val="24"/>
                <w:szCs w:val="24"/>
              </w:rPr>
              <w:t>Stra</w:t>
            </w:r>
            <w:r>
              <w:rPr>
                <w:sz w:val="24"/>
                <w:szCs w:val="24"/>
              </w:rPr>
              <w:t>tegic projects may relate to any of the two thematic priorities</w:t>
            </w:r>
            <w:r w:rsidRPr="00AA09D4">
              <w:rPr>
                <w:sz w:val="24"/>
                <w:szCs w:val="24"/>
              </w:rPr>
              <w:t xml:space="preserve"> under this programme, whereas the big</w:t>
            </w:r>
            <w:r>
              <w:rPr>
                <w:sz w:val="24"/>
                <w:szCs w:val="24"/>
              </w:rPr>
              <w:t>gest potential lies within the p</w:t>
            </w:r>
            <w:r w:rsidRPr="00AA09D4">
              <w:rPr>
                <w:sz w:val="24"/>
                <w:szCs w:val="24"/>
              </w:rPr>
              <w:t>riority 2</w:t>
            </w:r>
            <w:r>
              <w:rPr>
                <w:sz w:val="24"/>
                <w:szCs w:val="24"/>
              </w:rPr>
              <w:t xml:space="preserve"> (encouraging tourism and cultural and natural heritage)</w:t>
            </w:r>
            <w:r w:rsidRPr="00AA09D4">
              <w:rPr>
                <w:sz w:val="24"/>
                <w:szCs w:val="24"/>
              </w:rPr>
              <w:t>.</w:t>
            </w:r>
          </w:p>
          <w:p w:rsidR="00286C98" w:rsidRDefault="00286C98" w:rsidP="00AA09D4">
            <w:pPr>
              <w:jc w:val="both"/>
              <w:rPr>
                <w:rFonts w:ascii="Arial" w:hAnsi="Arial" w:cs="Arial"/>
                <w:sz w:val="24"/>
                <w:szCs w:val="24"/>
                <w:lang w:val="en-US"/>
              </w:rPr>
            </w:pPr>
            <w:r w:rsidRPr="00012238">
              <w:rPr>
                <w:rFonts w:ascii="Arial" w:hAnsi="Arial" w:cs="Arial"/>
                <w:sz w:val="24"/>
                <w:szCs w:val="24"/>
                <w:lang w:val="en-US"/>
              </w:rPr>
              <w:t>Linkage with macro-regional strategies.</w:t>
            </w:r>
          </w:p>
          <w:p w:rsidR="00286C98" w:rsidRPr="00012238" w:rsidRDefault="00286C98" w:rsidP="00AA09D4">
            <w:pPr>
              <w:jc w:val="both"/>
              <w:rPr>
                <w:rFonts w:ascii="Arial" w:hAnsi="Arial" w:cs="Arial"/>
                <w:sz w:val="24"/>
                <w:szCs w:val="24"/>
              </w:rPr>
            </w:pPr>
          </w:p>
        </w:tc>
      </w:tr>
    </w:tbl>
    <w:p w:rsidR="009A5368" w:rsidRDefault="009A5368" w:rsidP="00316F9D">
      <w:pPr>
        <w:spacing w:after="0" w:line="240" w:lineRule="auto"/>
        <w:jc w:val="both"/>
        <w:rPr>
          <w:rFonts w:ascii="Arial" w:hAnsi="Arial" w:cs="Arial"/>
          <w:sz w:val="24"/>
          <w:szCs w:val="24"/>
          <w:lang w:val="en-US"/>
        </w:rPr>
      </w:pPr>
    </w:p>
    <w:p w:rsidR="0058708F" w:rsidRDefault="0058708F"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In short, </w:t>
      </w:r>
      <w:r w:rsidRPr="00286C98">
        <w:rPr>
          <w:rFonts w:ascii="Arial" w:hAnsi="Arial" w:cs="Arial"/>
          <w:b/>
          <w:sz w:val="24"/>
          <w:szCs w:val="24"/>
          <w:lang w:val="en-US"/>
        </w:rPr>
        <w:t>none</w:t>
      </w:r>
      <w:r>
        <w:rPr>
          <w:rFonts w:ascii="Arial" w:hAnsi="Arial" w:cs="Arial"/>
          <w:sz w:val="24"/>
          <w:szCs w:val="24"/>
          <w:lang w:val="en-US"/>
        </w:rPr>
        <w:t xml:space="preserve"> of the programme documents </w:t>
      </w:r>
      <w:r w:rsidR="006C4642">
        <w:rPr>
          <w:rFonts w:ascii="Arial" w:hAnsi="Arial" w:cs="Arial"/>
          <w:sz w:val="24"/>
          <w:szCs w:val="24"/>
          <w:lang w:val="en-US"/>
        </w:rPr>
        <w:t>refers</w:t>
      </w:r>
      <w:r w:rsidR="00F1172A">
        <w:rPr>
          <w:rFonts w:ascii="Arial" w:hAnsi="Arial" w:cs="Arial"/>
          <w:sz w:val="24"/>
          <w:szCs w:val="24"/>
          <w:lang w:val="en-US"/>
        </w:rPr>
        <w:t xml:space="preserve"> to any specific project that will be funded outside a call for proposal</w:t>
      </w:r>
      <w:r w:rsidR="00DF6144">
        <w:rPr>
          <w:rFonts w:ascii="Arial" w:hAnsi="Arial" w:cs="Arial"/>
          <w:sz w:val="24"/>
          <w:szCs w:val="24"/>
          <w:lang w:val="en-US"/>
        </w:rPr>
        <w:t>s</w:t>
      </w:r>
      <w:r w:rsidR="00F1172A">
        <w:rPr>
          <w:rFonts w:ascii="Arial" w:hAnsi="Arial" w:cs="Arial"/>
          <w:sz w:val="24"/>
          <w:szCs w:val="24"/>
          <w:lang w:val="en-US"/>
        </w:rPr>
        <w:t xml:space="preserve">; or in other words </w:t>
      </w:r>
      <w:r w:rsidR="00F1172A" w:rsidRPr="00CA0EE9">
        <w:rPr>
          <w:rFonts w:ascii="Arial" w:hAnsi="Arial" w:cs="Arial"/>
          <w:b/>
          <w:sz w:val="24"/>
          <w:szCs w:val="24"/>
          <w:lang w:val="en-US"/>
        </w:rPr>
        <w:t>no</w:t>
      </w:r>
      <w:r w:rsidR="00F1172A">
        <w:rPr>
          <w:rFonts w:ascii="Arial" w:hAnsi="Arial" w:cs="Arial"/>
          <w:sz w:val="24"/>
          <w:szCs w:val="24"/>
          <w:lang w:val="en-US"/>
        </w:rPr>
        <w:t xml:space="preserve"> </w:t>
      </w:r>
      <w:r>
        <w:rPr>
          <w:rFonts w:ascii="Arial" w:hAnsi="Arial" w:cs="Arial"/>
          <w:sz w:val="24"/>
          <w:szCs w:val="24"/>
          <w:lang w:val="en-US"/>
        </w:rPr>
        <w:t xml:space="preserve">strategic project </w:t>
      </w:r>
      <w:r w:rsidR="00F1172A">
        <w:rPr>
          <w:rFonts w:ascii="Arial" w:hAnsi="Arial" w:cs="Arial"/>
          <w:sz w:val="24"/>
          <w:szCs w:val="24"/>
          <w:lang w:val="en-US"/>
        </w:rPr>
        <w:t xml:space="preserve">has been </w:t>
      </w:r>
      <w:r>
        <w:rPr>
          <w:rFonts w:ascii="Arial" w:hAnsi="Arial" w:cs="Arial"/>
          <w:sz w:val="24"/>
          <w:szCs w:val="24"/>
          <w:lang w:val="en-US"/>
        </w:rPr>
        <w:t>identified in the text</w:t>
      </w:r>
      <w:r w:rsidR="00F1172A">
        <w:rPr>
          <w:rFonts w:ascii="Arial" w:hAnsi="Arial" w:cs="Arial"/>
          <w:sz w:val="24"/>
          <w:szCs w:val="24"/>
          <w:lang w:val="en-US"/>
        </w:rPr>
        <w:t xml:space="preserve"> of the documents</w:t>
      </w:r>
      <w:r>
        <w:rPr>
          <w:rFonts w:ascii="Arial" w:hAnsi="Arial" w:cs="Arial"/>
          <w:sz w:val="24"/>
          <w:szCs w:val="24"/>
          <w:lang w:val="en-US"/>
        </w:rPr>
        <w:t xml:space="preserve">. </w:t>
      </w:r>
      <w:r w:rsidR="00F1172A">
        <w:rPr>
          <w:rFonts w:ascii="Arial" w:hAnsi="Arial" w:cs="Arial"/>
          <w:sz w:val="24"/>
          <w:szCs w:val="24"/>
          <w:lang w:val="en-US"/>
        </w:rPr>
        <w:t>However, a</w:t>
      </w:r>
      <w:r>
        <w:rPr>
          <w:rFonts w:ascii="Arial" w:hAnsi="Arial" w:cs="Arial"/>
          <w:sz w:val="24"/>
          <w:szCs w:val="24"/>
          <w:lang w:val="en-US"/>
        </w:rPr>
        <w:t>ll programme documents, with the exception of the one related to MK-AL</w:t>
      </w:r>
      <w:r w:rsidR="00F1172A">
        <w:rPr>
          <w:rStyle w:val="FootnoteReference"/>
          <w:rFonts w:cs="Arial"/>
          <w:szCs w:val="24"/>
          <w:lang w:val="en-US"/>
        </w:rPr>
        <w:footnoteReference w:id="2"/>
      </w:r>
      <w:r>
        <w:rPr>
          <w:rFonts w:ascii="Arial" w:hAnsi="Arial" w:cs="Arial"/>
          <w:sz w:val="24"/>
          <w:szCs w:val="24"/>
          <w:lang w:val="en-US"/>
        </w:rPr>
        <w:t xml:space="preserve">, have envisaged the selection of strategic projects either through specially tailored calls or outside calls for proposals. </w:t>
      </w:r>
      <w:r w:rsidR="00F1172A">
        <w:rPr>
          <w:rFonts w:ascii="Arial" w:hAnsi="Arial" w:cs="Arial"/>
          <w:sz w:val="24"/>
          <w:szCs w:val="24"/>
          <w:lang w:val="en-US"/>
        </w:rPr>
        <w:t>Furthermore, t</w:t>
      </w:r>
      <w:r>
        <w:rPr>
          <w:rFonts w:ascii="Arial" w:hAnsi="Arial" w:cs="Arial"/>
          <w:sz w:val="24"/>
          <w:szCs w:val="24"/>
          <w:lang w:val="en-US"/>
        </w:rPr>
        <w:t>he programmes RS-BA</w:t>
      </w:r>
      <w:r w:rsidR="00012238">
        <w:rPr>
          <w:rFonts w:ascii="Arial" w:hAnsi="Arial" w:cs="Arial"/>
          <w:sz w:val="24"/>
          <w:szCs w:val="24"/>
          <w:lang w:val="en-US"/>
        </w:rPr>
        <w:t>,</w:t>
      </w:r>
      <w:r>
        <w:rPr>
          <w:rFonts w:ascii="Arial" w:hAnsi="Arial" w:cs="Arial"/>
          <w:sz w:val="24"/>
          <w:szCs w:val="24"/>
          <w:lang w:val="en-US"/>
        </w:rPr>
        <w:t xml:space="preserve"> RS-MNE</w:t>
      </w:r>
      <w:r w:rsidR="00012238">
        <w:rPr>
          <w:rFonts w:ascii="Arial" w:hAnsi="Arial" w:cs="Arial"/>
          <w:sz w:val="24"/>
          <w:szCs w:val="24"/>
          <w:lang w:val="en-US"/>
        </w:rPr>
        <w:t xml:space="preserve"> and RS-MK</w:t>
      </w:r>
      <w:r>
        <w:rPr>
          <w:rFonts w:ascii="Arial" w:hAnsi="Arial" w:cs="Arial"/>
          <w:sz w:val="24"/>
          <w:szCs w:val="24"/>
          <w:lang w:val="en-US"/>
        </w:rPr>
        <w:t xml:space="preserve"> have </w:t>
      </w:r>
      <w:r w:rsidR="003C1E6C">
        <w:rPr>
          <w:rFonts w:ascii="Arial" w:hAnsi="Arial" w:cs="Arial"/>
          <w:sz w:val="24"/>
          <w:szCs w:val="24"/>
          <w:lang w:val="en-US"/>
        </w:rPr>
        <w:t xml:space="preserve">established a link between future strategic projects and the objectives of the macro-regional strategies for the Danube Region and the Adriatic and Ionian Region. </w:t>
      </w:r>
    </w:p>
    <w:p w:rsidR="003C1E6C" w:rsidRDefault="003C1E6C" w:rsidP="00316F9D">
      <w:pPr>
        <w:spacing w:after="0" w:line="240" w:lineRule="auto"/>
        <w:jc w:val="both"/>
        <w:rPr>
          <w:rFonts w:ascii="Arial" w:hAnsi="Arial" w:cs="Arial"/>
          <w:sz w:val="24"/>
          <w:szCs w:val="24"/>
          <w:lang w:val="en-US"/>
        </w:rPr>
      </w:pPr>
    </w:p>
    <w:p w:rsidR="003C1E6C" w:rsidRDefault="003C1E6C" w:rsidP="00316F9D">
      <w:pPr>
        <w:spacing w:after="0" w:line="240" w:lineRule="auto"/>
        <w:jc w:val="both"/>
        <w:rPr>
          <w:rFonts w:ascii="Arial" w:hAnsi="Arial" w:cs="Arial"/>
          <w:sz w:val="24"/>
          <w:szCs w:val="24"/>
          <w:lang w:val="en-US"/>
        </w:rPr>
      </w:pPr>
    </w:p>
    <w:p w:rsidR="00F1172A" w:rsidRDefault="00F1172A">
      <w:pPr>
        <w:rPr>
          <w:rFonts w:ascii="Arial" w:hAnsi="Arial" w:cs="Arial"/>
          <w:sz w:val="24"/>
          <w:szCs w:val="24"/>
          <w:lang w:val="en-US"/>
        </w:rPr>
      </w:pPr>
      <w:r>
        <w:rPr>
          <w:rFonts w:ascii="Arial" w:hAnsi="Arial" w:cs="Arial"/>
          <w:sz w:val="24"/>
          <w:szCs w:val="24"/>
          <w:lang w:val="en-US"/>
        </w:rPr>
        <w:br w:type="page"/>
      </w:r>
    </w:p>
    <w:p w:rsidR="003C1E6C" w:rsidRPr="006C4642" w:rsidRDefault="006C4642" w:rsidP="00012238">
      <w:pPr>
        <w:pStyle w:val="Heading1"/>
        <w:rPr>
          <w:lang w:val="en-US"/>
        </w:rPr>
      </w:pPr>
      <w:bookmarkStart w:id="3" w:name="_Toc485980982"/>
      <w:r>
        <w:rPr>
          <w:lang w:val="en-US"/>
        </w:rPr>
        <w:lastRenderedPageBreak/>
        <w:t>3.</w:t>
      </w:r>
      <w:r w:rsidR="00FD4F11">
        <w:rPr>
          <w:lang w:val="en-US"/>
        </w:rPr>
        <w:t xml:space="preserve"> </w:t>
      </w:r>
      <w:r w:rsidR="00F1172A" w:rsidRPr="006C4642">
        <w:rPr>
          <w:lang w:val="en-US"/>
        </w:rPr>
        <w:t>LESSONS LEARNT FROM IPA</w:t>
      </w:r>
      <w:bookmarkEnd w:id="3"/>
    </w:p>
    <w:p w:rsidR="003C1E6C" w:rsidRDefault="003C1E6C" w:rsidP="00316F9D">
      <w:pPr>
        <w:spacing w:after="0" w:line="240" w:lineRule="auto"/>
        <w:jc w:val="both"/>
        <w:rPr>
          <w:rFonts w:ascii="Arial" w:hAnsi="Arial" w:cs="Arial"/>
          <w:sz w:val="24"/>
          <w:szCs w:val="24"/>
          <w:lang w:val="en-US"/>
        </w:rPr>
      </w:pPr>
    </w:p>
    <w:p w:rsidR="00F1172A" w:rsidRPr="008B7576" w:rsidRDefault="00F1172A" w:rsidP="00F1172A">
      <w:pPr>
        <w:spacing w:after="0" w:line="240" w:lineRule="auto"/>
        <w:jc w:val="both"/>
        <w:rPr>
          <w:rFonts w:ascii="Arial" w:hAnsi="Arial" w:cs="Arial"/>
          <w:sz w:val="24"/>
          <w:szCs w:val="24"/>
        </w:rPr>
      </w:pPr>
      <w:r w:rsidRPr="008B7576">
        <w:rPr>
          <w:rFonts w:ascii="Arial" w:hAnsi="Arial" w:cs="Arial"/>
          <w:sz w:val="24"/>
          <w:szCs w:val="24"/>
        </w:rPr>
        <w:t>In accord</w:t>
      </w:r>
      <w:r>
        <w:rPr>
          <w:rFonts w:ascii="Arial" w:hAnsi="Arial" w:cs="Arial"/>
          <w:sz w:val="24"/>
          <w:szCs w:val="24"/>
        </w:rPr>
        <w:t>ance with the provisions of Article</w:t>
      </w:r>
      <w:r w:rsidRPr="008B7576">
        <w:rPr>
          <w:rFonts w:ascii="Arial" w:hAnsi="Arial" w:cs="Arial"/>
          <w:sz w:val="24"/>
          <w:szCs w:val="24"/>
        </w:rPr>
        <w:t xml:space="preserve"> 95 of the IPA Implementing Regulation (718/2007), although calls for proposals are preferential for the programme implementation, the cross-border programme structures were also allowed to directly agree on one or more projects to be funded outside of these calls. Such projects were often referred to as “strategic projects” and are, by definition, identified</w:t>
      </w:r>
      <w:r w:rsidR="00012238">
        <w:rPr>
          <w:rFonts w:ascii="Arial" w:hAnsi="Arial" w:cs="Arial"/>
          <w:sz w:val="24"/>
          <w:szCs w:val="24"/>
        </w:rPr>
        <w:t xml:space="preserve"> and supported</w:t>
      </w:r>
      <w:r w:rsidR="00012238" w:rsidRPr="008B7576">
        <w:rPr>
          <w:rFonts w:ascii="Arial" w:hAnsi="Arial" w:cs="Arial"/>
          <w:sz w:val="24"/>
          <w:szCs w:val="24"/>
        </w:rPr>
        <w:t xml:space="preserve"> </w:t>
      </w:r>
      <w:r w:rsidRPr="008B7576">
        <w:rPr>
          <w:rFonts w:ascii="Arial" w:hAnsi="Arial" w:cs="Arial"/>
          <w:sz w:val="24"/>
          <w:szCs w:val="24"/>
        </w:rPr>
        <w:t>by the JMC</w:t>
      </w:r>
      <w:r w:rsidR="00012238">
        <w:rPr>
          <w:rFonts w:ascii="Arial" w:hAnsi="Arial" w:cs="Arial"/>
          <w:sz w:val="24"/>
          <w:szCs w:val="24"/>
        </w:rPr>
        <w:t>,</w:t>
      </w:r>
      <w:r w:rsidRPr="008B7576">
        <w:rPr>
          <w:rFonts w:ascii="Arial" w:hAnsi="Arial" w:cs="Arial"/>
          <w:sz w:val="24"/>
          <w:szCs w:val="24"/>
        </w:rPr>
        <w:t xml:space="preserve"> and </w:t>
      </w:r>
      <w:r w:rsidR="00566557">
        <w:rPr>
          <w:rFonts w:ascii="Arial" w:hAnsi="Arial" w:cs="Arial"/>
          <w:sz w:val="24"/>
          <w:szCs w:val="24"/>
        </w:rPr>
        <w:t>then proposed for financing to</w:t>
      </w:r>
      <w:r w:rsidRPr="008B7576">
        <w:rPr>
          <w:rFonts w:ascii="Arial" w:hAnsi="Arial" w:cs="Arial"/>
          <w:sz w:val="24"/>
          <w:szCs w:val="24"/>
        </w:rPr>
        <w:t xml:space="preserve"> the </w:t>
      </w:r>
      <w:r>
        <w:rPr>
          <w:rFonts w:ascii="Arial" w:hAnsi="Arial" w:cs="Arial"/>
          <w:sz w:val="24"/>
          <w:szCs w:val="24"/>
        </w:rPr>
        <w:t>c</w:t>
      </w:r>
      <w:r w:rsidRPr="008B7576">
        <w:rPr>
          <w:rFonts w:ascii="Arial" w:hAnsi="Arial" w:cs="Arial"/>
          <w:sz w:val="24"/>
          <w:szCs w:val="24"/>
        </w:rPr>
        <w:t>o</w:t>
      </w:r>
      <w:r>
        <w:rPr>
          <w:rFonts w:ascii="Arial" w:hAnsi="Arial" w:cs="Arial"/>
          <w:sz w:val="24"/>
          <w:szCs w:val="24"/>
        </w:rPr>
        <w:t>ntracting a</w:t>
      </w:r>
      <w:r w:rsidRPr="008B7576">
        <w:rPr>
          <w:rFonts w:ascii="Arial" w:hAnsi="Arial" w:cs="Arial"/>
          <w:sz w:val="24"/>
          <w:szCs w:val="24"/>
        </w:rPr>
        <w:t>uthorities of the programme, which</w:t>
      </w:r>
      <w:r w:rsidR="00012238" w:rsidRPr="008B7576">
        <w:rPr>
          <w:rFonts w:ascii="Arial" w:hAnsi="Arial" w:cs="Arial"/>
          <w:sz w:val="24"/>
          <w:szCs w:val="24"/>
        </w:rPr>
        <w:t xml:space="preserve">, </w:t>
      </w:r>
      <w:r w:rsidR="00012238">
        <w:rPr>
          <w:rFonts w:ascii="Arial" w:hAnsi="Arial" w:cs="Arial"/>
          <w:sz w:val="24"/>
          <w:szCs w:val="24"/>
        </w:rPr>
        <w:t>with the exception of all programmes where Croatia was a participating country</w:t>
      </w:r>
      <w:r w:rsidR="00012238" w:rsidRPr="008B7576">
        <w:rPr>
          <w:rFonts w:ascii="Arial" w:hAnsi="Arial" w:cs="Arial"/>
          <w:sz w:val="24"/>
          <w:szCs w:val="24"/>
        </w:rPr>
        <w:t>,</w:t>
      </w:r>
      <w:r w:rsidRPr="008B7576">
        <w:rPr>
          <w:rFonts w:ascii="Arial" w:hAnsi="Arial" w:cs="Arial"/>
          <w:sz w:val="24"/>
          <w:szCs w:val="24"/>
        </w:rPr>
        <w:t xml:space="preserve"> were the Delegations of the European Union</w:t>
      </w:r>
      <w:r w:rsidR="003F08CF">
        <w:rPr>
          <w:rFonts w:ascii="Arial" w:hAnsi="Arial" w:cs="Arial"/>
          <w:sz w:val="24"/>
          <w:szCs w:val="24"/>
        </w:rPr>
        <w:t xml:space="preserve"> (DEUs)</w:t>
      </w:r>
      <w:r w:rsidRPr="008B7576">
        <w:rPr>
          <w:rFonts w:ascii="Arial" w:hAnsi="Arial" w:cs="Arial"/>
          <w:sz w:val="24"/>
          <w:szCs w:val="24"/>
        </w:rPr>
        <w:t xml:space="preserve"> </w:t>
      </w:r>
      <w:r>
        <w:rPr>
          <w:rFonts w:ascii="Arial" w:hAnsi="Arial" w:cs="Arial"/>
          <w:sz w:val="24"/>
          <w:szCs w:val="24"/>
        </w:rPr>
        <w:t>in the Western Balkans</w:t>
      </w:r>
      <w:r w:rsidR="003F08CF">
        <w:rPr>
          <w:rFonts w:ascii="Arial" w:hAnsi="Arial" w:cs="Arial"/>
          <w:sz w:val="24"/>
          <w:szCs w:val="24"/>
        </w:rPr>
        <w:t xml:space="preserve"> (WB)</w:t>
      </w:r>
      <w:r w:rsidRPr="008B7576">
        <w:rPr>
          <w:rFonts w:ascii="Arial" w:hAnsi="Arial" w:cs="Arial"/>
          <w:sz w:val="24"/>
          <w:szCs w:val="24"/>
        </w:rPr>
        <w:t xml:space="preserve">. </w:t>
      </w:r>
    </w:p>
    <w:p w:rsidR="007A4286" w:rsidRDefault="007A4286" w:rsidP="00F1172A">
      <w:pPr>
        <w:spacing w:after="0" w:line="240" w:lineRule="auto"/>
        <w:jc w:val="both"/>
        <w:rPr>
          <w:rFonts w:ascii="Arial" w:hAnsi="Arial" w:cs="Arial"/>
          <w:sz w:val="24"/>
          <w:szCs w:val="24"/>
        </w:rPr>
      </w:pPr>
      <w:r>
        <w:rPr>
          <w:rFonts w:ascii="Arial" w:hAnsi="Arial" w:cs="Arial"/>
          <w:sz w:val="24"/>
          <w:szCs w:val="24"/>
        </w:rPr>
        <w:t xml:space="preserve"> </w:t>
      </w:r>
    </w:p>
    <w:p w:rsidR="00F1172A" w:rsidRPr="00012238" w:rsidRDefault="007A4286" w:rsidP="00012238">
      <w:pPr>
        <w:pStyle w:val="Heading2"/>
      </w:pPr>
      <w:bookmarkStart w:id="4" w:name="_Toc485980983"/>
      <w:r w:rsidRPr="00012238">
        <w:t>3.1 Definition</w:t>
      </w:r>
      <w:bookmarkEnd w:id="4"/>
    </w:p>
    <w:p w:rsidR="007A4286" w:rsidRDefault="007A4286" w:rsidP="007A4286">
      <w:pPr>
        <w:spacing w:before="120" w:after="120" w:line="240" w:lineRule="auto"/>
        <w:jc w:val="both"/>
        <w:rPr>
          <w:rFonts w:ascii="Arial" w:hAnsi="Arial" w:cs="Arial"/>
          <w:sz w:val="24"/>
          <w:szCs w:val="24"/>
        </w:rPr>
      </w:pPr>
      <w:r w:rsidRPr="00012238">
        <w:rPr>
          <w:rFonts w:ascii="Arial" w:hAnsi="Arial" w:cs="Arial"/>
          <w:sz w:val="24"/>
          <w:szCs w:val="24"/>
        </w:rPr>
        <w:t>Strategic projects are defined as those which have a significant cross–border impact throughout the programme area and which will, on their own or in combination with other strategic projects, achieve in particular a specific objective put forward in the CBC programme document. A strategic project aims to achieve, in an extraordinarily integrative way, a significant and long lasting impact by improving peoples’ lives on the whole or large parts of the eligible programme area. It involves the main stakeholders usually responsible for the type of policy or domain in which the project is contextualized. It is beyond the scope of projects that could be funded under calls for proposals.</w:t>
      </w:r>
      <w:r w:rsidR="00190E32">
        <w:rPr>
          <w:rFonts w:ascii="Arial" w:hAnsi="Arial" w:cs="Arial"/>
          <w:sz w:val="24"/>
          <w:szCs w:val="24"/>
        </w:rPr>
        <w:t xml:space="preserve"> </w:t>
      </w:r>
      <w:r w:rsidR="00190E32" w:rsidRPr="003B21EA">
        <w:rPr>
          <w:rFonts w:ascii="Arial" w:hAnsi="Arial" w:cs="Arial"/>
          <w:sz w:val="24"/>
          <w:szCs w:val="24"/>
        </w:rPr>
        <w:t xml:space="preserve">More information and discussion on the definition of the strategic projects can be found in Annex 5: Analysis of the </w:t>
      </w:r>
      <w:r w:rsidR="003B21EA" w:rsidRPr="003B21EA">
        <w:rPr>
          <w:rFonts w:ascii="Arial" w:hAnsi="Arial" w:cs="Arial"/>
          <w:sz w:val="24"/>
          <w:szCs w:val="24"/>
        </w:rPr>
        <w:t xml:space="preserve">responses to the </w:t>
      </w:r>
      <w:r w:rsidR="00190E32" w:rsidRPr="003B21EA">
        <w:rPr>
          <w:rFonts w:ascii="Arial" w:hAnsi="Arial" w:cs="Arial"/>
          <w:sz w:val="24"/>
          <w:szCs w:val="24"/>
        </w:rPr>
        <w:t>questionnaire</w:t>
      </w:r>
      <w:r w:rsidR="002A7698" w:rsidRPr="003B21EA">
        <w:rPr>
          <w:rFonts w:ascii="Arial" w:hAnsi="Arial" w:cs="Arial"/>
          <w:sz w:val="24"/>
          <w:szCs w:val="24"/>
        </w:rPr>
        <w:t>, p 5-7</w:t>
      </w:r>
      <w:r w:rsidR="00190E32" w:rsidRPr="003B21EA">
        <w:rPr>
          <w:rFonts w:ascii="Arial" w:hAnsi="Arial" w:cs="Arial"/>
          <w:sz w:val="24"/>
          <w:szCs w:val="24"/>
        </w:rPr>
        <w:t>.</w:t>
      </w:r>
    </w:p>
    <w:p w:rsidR="000426AC" w:rsidRDefault="000426AC" w:rsidP="007A4286">
      <w:pPr>
        <w:spacing w:before="120" w:after="120" w:line="240" w:lineRule="auto"/>
        <w:jc w:val="both"/>
        <w:rPr>
          <w:rFonts w:ascii="Arial" w:hAnsi="Arial" w:cs="Arial"/>
          <w:sz w:val="24"/>
          <w:szCs w:val="24"/>
        </w:rPr>
      </w:pPr>
      <w:r>
        <w:rPr>
          <w:rFonts w:ascii="Arial" w:hAnsi="Arial" w:cs="Arial"/>
          <w:sz w:val="24"/>
          <w:szCs w:val="24"/>
        </w:rPr>
        <w:t>“Joint s</w:t>
      </w:r>
      <w:r w:rsidRPr="008B7576">
        <w:rPr>
          <w:rFonts w:ascii="Arial" w:hAnsi="Arial" w:cs="Arial"/>
          <w:sz w:val="24"/>
          <w:szCs w:val="24"/>
        </w:rPr>
        <w:t xml:space="preserve">trategic </w:t>
      </w:r>
      <w:r>
        <w:rPr>
          <w:rFonts w:ascii="Arial" w:hAnsi="Arial" w:cs="Arial"/>
          <w:sz w:val="24"/>
          <w:szCs w:val="24"/>
        </w:rPr>
        <w:t>p</w:t>
      </w:r>
      <w:r w:rsidRPr="008B7576">
        <w:rPr>
          <w:rFonts w:ascii="Arial" w:hAnsi="Arial" w:cs="Arial"/>
          <w:sz w:val="24"/>
          <w:szCs w:val="24"/>
        </w:rPr>
        <w:t xml:space="preserve">rojects” are </w:t>
      </w:r>
      <w:r w:rsidRPr="000426AC">
        <w:rPr>
          <w:rFonts w:ascii="Arial" w:hAnsi="Arial" w:cs="Arial"/>
          <w:sz w:val="24"/>
          <w:szCs w:val="24"/>
        </w:rPr>
        <w:t>also</w:t>
      </w:r>
      <w:r>
        <w:rPr>
          <w:rFonts w:ascii="Arial" w:hAnsi="Arial" w:cs="Arial"/>
          <w:sz w:val="24"/>
          <w:szCs w:val="24"/>
        </w:rPr>
        <w:t xml:space="preserve"> </w:t>
      </w:r>
      <w:r w:rsidRPr="008B7576">
        <w:rPr>
          <w:rFonts w:ascii="Arial" w:hAnsi="Arial" w:cs="Arial"/>
          <w:sz w:val="24"/>
          <w:szCs w:val="24"/>
        </w:rPr>
        <w:t>defined as those which have a significant cros</w:t>
      </w:r>
      <w:r>
        <w:rPr>
          <w:rFonts w:ascii="Arial" w:hAnsi="Arial" w:cs="Arial"/>
          <w:sz w:val="24"/>
          <w:szCs w:val="24"/>
        </w:rPr>
        <w:t>s–border impact throughout the programming a</w:t>
      </w:r>
      <w:r w:rsidRPr="008B7576">
        <w:rPr>
          <w:rFonts w:ascii="Arial" w:hAnsi="Arial" w:cs="Arial"/>
          <w:sz w:val="24"/>
          <w:szCs w:val="24"/>
        </w:rPr>
        <w:t>rea and which will, on their ow</w:t>
      </w:r>
      <w:r>
        <w:rPr>
          <w:rFonts w:ascii="Arial" w:hAnsi="Arial" w:cs="Arial"/>
          <w:sz w:val="24"/>
          <w:szCs w:val="24"/>
        </w:rPr>
        <w:t xml:space="preserve">n or in combination with other strategic projects, </w:t>
      </w:r>
      <w:r w:rsidRPr="00B71143">
        <w:rPr>
          <w:rFonts w:ascii="Arial" w:hAnsi="Arial" w:cs="Arial"/>
          <w:sz w:val="24"/>
          <w:szCs w:val="24"/>
        </w:rPr>
        <w:t xml:space="preserve">substantially contribute to the achievement of major objectives at </w:t>
      </w:r>
      <w:r>
        <w:rPr>
          <w:rFonts w:ascii="Arial" w:hAnsi="Arial" w:cs="Arial"/>
          <w:sz w:val="24"/>
          <w:szCs w:val="24"/>
        </w:rPr>
        <w:t xml:space="preserve">thematic </w:t>
      </w:r>
      <w:r w:rsidRPr="00B71143">
        <w:rPr>
          <w:rFonts w:ascii="Arial" w:hAnsi="Arial" w:cs="Arial"/>
          <w:sz w:val="24"/>
          <w:szCs w:val="24"/>
        </w:rPr>
        <w:t>priority level</w:t>
      </w:r>
      <w:r w:rsidRPr="008B7576">
        <w:rPr>
          <w:rFonts w:ascii="Arial" w:hAnsi="Arial" w:cs="Arial"/>
          <w:sz w:val="24"/>
          <w:szCs w:val="24"/>
        </w:rPr>
        <w:t>.</w:t>
      </w:r>
    </w:p>
    <w:p w:rsidR="000426AC" w:rsidRPr="008B7576" w:rsidRDefault="000426AC" w:rsidP="000426AC">
      <w:pPr>
        <w:spacing w:after="0" w:line="240" w:lineRule="auto"/>
        <w:jc w:val="both"/>
        <w:rPr>
          <w:rFonts w:ascii="Arial" w:hAnsi="Arial" w:cs="Arial"/>
          <w:sz w:val="24"/>
          <w:szCs w:val="24"/>
        </w:rPr>
      </w:pPr>
      <w:r w:rsidRPr="00CC0C41">
        <w:rPr>
          <w:rFonts w:ascii="Arial" w:hAnsi="Arial" w:cs="Arial"/>
          <w:sz w:val="24"/>
          <w:szCs w:val="24"/>
        </w:rPr>
        <w:t>A project may be considered “strategic” because, even though it affects a limited territory in the programme area, it rebuilds or completes networks or deals with matters of general interest to the entire area, thus encouraging overall cooperation among the communities.</w:t>
      </w:r>
    </w:p>
    <w:p w:rsidR="000426AC" w:rsidRDefault="000426AC" w:rsidP="007A4286">
      <w:pPr>
        <w:spacing w:before="120" w:after="120" w:line="240" w:lineRule="auto"/>
        <w:jc w:val="both"/>
        <w:rPr>
          <w:rFonts w:ascii="Arial" w:hAnsi="Arial" w:cs="Arial"/>
          <w:sz w:val="24"/>
          <w:szCs w:val="24"/>
        </w:rPr>
      </w:pPr>
    </w:p>
    <w:p w:rsidR="000426AC" w:rsidRDefault="000426AC" w:rsidP="000426AC">
      <w:pPr>
        <w:pStyle w:val="Heading2"/>
      </w:pPr>
      <w:bookmarkStart w:id="5" w:name="_Toc485980984"/>
      <w:r>
        <w:t>3.2 Identification</w:t>
      </w:r>
      <w:bookmarkEnd w:id="5"/>
    </w:p>
    <w:p w:rsidR="00566557" w:rsidRDefault="00566557" w:rsidP="00566557">
      <w:pPr>
        <w:pStyle w:val="NormalWeb"/>
        <w:spacing w:before="0" w:beforeAutospacing="0" w:after="0" w:afterAutospacing="0"/>
        <w:jc w:val="both"/>
        <w:rPr>
          <w:rFonts w:ascii="Arial" w:hAnsi="Arial" w:cs="Arial"/>
        </w:rPr>
      </w:pPr>
    </w:p>
    <w:p w:rsidR="007A4286" w:rsidRDefault="007A4286" w:rsidP="00566557">
      <w:pPr>
        <w:pStyle w:val="NormalWeb"/>
        <w:spacing w:before="0" w:beforeAutospacing="0" w:after="0" w:afterAutospacing="0"/>
        <w:jc w:val="both"/>
        <w:rPr>
          <w:rFonts w:ascii="Arial" w:hAnsi="Arial" w:cs="Arial"/>
        </w:rPr>
      </w:pPr>
      <w:r w:rsidRPr="000426AC">
        <w:rPr>
          <w:rFonts w:ascii="Arial" w:hAnsi="Arial" w:cs="Arial"/>
        </w:rPr>
        <w:t xml:space="preserve">In order to </w:t>
      </w:r>
      <w:r w:rsidR="000426AC">
        <w:rPr>
          <w:rFonts w:ascii="Arial" w:hAnsi="Arial" w:cs="Arial"/>
        </w:rPr>
        <w:t xml:space="preserve">assess whether a project is strategic or not, and then </w:t>
      </w:r>
      <w:r w:rsidRPr="000426AC">
        <w:rPr>
          <w:rFonts w:ascii="Arial" w:hAnsi="Arial" w:cs="Arial"/>
        </w:rPr>
        <w:t xml:space="preserve">facilitate </w:t>
      </w:r>
      <w:r w:rsidR="000426AC">
        <w:rPr>
          <w:rFonts w:ascii="Arial" w:hAnsi="Arial" w:cs="Arial"/>
        </w:rPr>
        <w:t>its</w:t>
      </w:r>
      <w:r w:rsidRPr="000426AC">
        <w:rPr>
          <w:rFonts w:ascii="Arial" w:hAnsi="Arial" w:cs="Arial"/>
        </w:rPr>
        <w:t xml:space="preserve"> development, </w:t>
      </w:r>
      <w:r w:rsidR="000426AC">
        <w:rPr>
          <w:rFonts w:ascii="Arial" w:hAnsi="Arial" w:cs="Arial"/>
        </w:rPr>
        <w:t xml:space="preserve">stakeholders need to recognise </w:t>
      </w:r>
      <w:r w:rsidR="002A7698">
        <w:rPr>
          <w:rFonts w:ascii="Arial" w:hAnsi="Arial" w:cs="Arial"/>
        </w:rPr>
        <w:t xml:space="preserve">the importance of the </w:t>
      </w:r>
      <w:r w:rsidR="002A7698" w:rsidRPr="00C6352E">
        <w:rPr>
          <w:rFonts w:ascii="Arial" w:hAnsi="Arial" w:cs="Arial"/>
        </w:rPr>
        <w:t>following</w:t>
      </w:r>
      <w:r w:rsidR="00190E32" w:rsidRPr="00C6352E">
        <w:rPr>
          <w:rFonts w:ascii="Arial" w:hAnsi="Arial" w:cs="Arial"/>
        </w:rPr>
        <w:t xml:space="preserve"> three pillars</w:t>
      </w:r>
      <w:r w:rsidR="000426AC" w:rsidRPr="00C6352E">
        <w:rPr>
          <w:rFonts w:ascii="Arial" w:hAnsi="Arial" w:cs="Arial"/>
        </w:rPr>
        <w:t>:</w:t>
      </w:r>
    </w:p>
    <w:p w:rsidR="00566557" w:rsidRPr="000426AC" w:rsidRDefault="00566557" w:rsidP="00566557">
      <w:pPr>
        <w:pStyle w:val="NormalWeb"/>
        <w:spacing w:before="0" w:beforeAutospacing="0" w:after="0" w:afterAutospacing="0"/>
        <w:jc w:val="both"/>
        <w:rPr>
          <w:rFonts w:ascii="Arial" w:hAnsi="Arial" w:cs="Arial"/>
        </w:rPr>
      </w:pPr>
    </w:p>
    <w:p w:rsidR="000426AC" w:rsidRPr="00C6352E" w:rsidRDefault="007A4286" w:rsidP="00566557">
      <w:pPr>
        <w:pStyle w:val="NormalWeb"/>
        <w:numPr>
          <w:ilvl w:val="0"/>
          <w:numId w:val="44"/>
        </w:numPr>
        <w:spacing w:before="0" w:beforeAutospacing="0" w:after="0" w:afterAutospacing="0"/>
        <w:jc w:val="both"/>
        <w:rPr>
          <w:rFonts w:ascii="Arial" w:hAnsi="Arial" w:cs="Arial"/>
          <w:i/>
        </w:rPr>
      </w:pPr>
      <w:r w:rsidRPr="000426AC">
        <w:rPr>
          <w:rFonts w:ascii="Arial" w:hAnsi="Arial" w:cs="Arial"/>
          <w:i/>
        </w:rPr>
        <w:t xml:space="preserve">Policy / Programme </w:t>
      </w:r>
      <w:r w:rsidR="00190E32" w:rsidRPr="00C6352E">
        <w:rPr>
          <w:rFonts w:ascii="Arial" w:hAnsi="Arial" w:cs="Arial"/>
          <w:i/>
        </w:rPr>
        <w:t>pillar</w:t>
      </w:r>
    </w:p>
    <w:p w:rsidR="00566557" w:rsidRDefault="00566557" w:rsidP="00566557">
      <w:pPr>
        <w:pStyle w:val="NormalWeb"/>
        <w:spacing w:before="0" w:beforeAutospacing="0" w:after="0" w:afterAutospacing="0"/>
        <w:ind w:left="360"/>
        <w:jc w:val="both"/>
        <w:rPr>
          <w:rFonts w:ascii="Arial" w:hAnsi="Arial" w:cs="Arial"/>
        </w:rPr>
      </w:pPr>
    </w:p>
    <w:p w:rsidR="007A4286" w:rsidRDefault="007A4286" w:rsidP="00566557">
      <w:pPr>
        <w:pStyle w:val="NormalWeb"/>
        <w:spacing w:before="0" w:beforeAutospacing="0" w:after="0" w:afterAutospacing="0"/>
        <w:ind w:left="360"/>
        <w:jc w:val="both"/>
        <w:rPr>
          <w:rFonts w:ascii="Arial" w:hAnsi="Arial" w:cs="Arial"/>
        </w:rPr>
      </w:pPr>
      <w:r w:rsidRPr="000426AC">
        <w:rPr>
          <w:rFonts w:ascii="Arial" w:hAnsi="Arial" w:cs="Arial"/>
        </w:rPr>
        <w:t xml:space="preserve">Be Coherent with the </w:t>
      </w:r>
      <w:r w:rsidR="000426AC">
        <w:rPr>
          <w:rFonts w:ascii="Arial" w:hAnsi="Arial" w:cs="Arial"/>
        </w:rPr>
        <w:t>p</w:t>
      </w:r>
      <w:r w:rsidRPr="000426AC">
        <w:rPr>
          <w:rFonts w:ascii="Arial" w:hAnsi="Arial" w:cs="Arial"/>
        </w:rPr>
        <w:t xml:space="preserve">rogramme strategy, </w:t>
      </w:r>
      <w:r w:rsidR="000426AC">
        <w:rPr>
          <w:rFonts w:ascii="Arial" w:hAnsi="Arial" w:cs="Arial"/>
        </w:rPr>
        <w:t xml:space="preserve">as well as </w:t>
      </w:r>
      <w:r w:rsidR="00C6352E">
        <w:rPr>
          <w:rFonts w:ascii="Arial" w:hAnsi="Arial" w:cs="Arial"/>
        </w:rPr>
        <w:t xml:space="preserve">with </w:t>
      </w:r>
      <w:r w:rsidRPr="000426AC">
        <w:rPr>
          <w:rFonts w:ascii="Arial" w:hAnsi="Arial" w:cs="Arial"/>
        </w:rPr>
        <w:t>national and regional policies</w:t>
      </w:r>
      <w:r w:rsidR="000426AC">
        <w:rPr>
          <w:rFonts w:ascii="Arial" w:hAnsi="Arial" w:cs="Arial"/>
        </w:rPr>
        <w:t>.</w:t>
      </w:r>
    </w:p>
    <w:p w:rsidR="00566557" w:rsidRPr="000426AC" w:rsidRDefault="00566557" w:rsidP="00566557">
      <w:pPr>
        <w:pStyle w:val="NormalWeb"/>
        <w:spacing w:before="0" w:beforeAutospacing="0" w:after="0" w:afterAutospacing="0"/>
        <w:ind w:left="360"/>
        <w:jc w:val="both"/>
        <w:rPr>
          <w:rFonts w:ascii="Arial" w:hAnsi="Arial" w:cs="Arial"/>
        </w:rPr>
      </w:pPr>
    </w:p>
    <w:p w:rsidR="007A4286" w:rsidRPr="00C6352E" w:rsidRDefault="00190E32" w:rsidP="00566557">
      <w:pPr>
        <w:pStyle w:val="NormalWeb"/>
        <w:numPr>
          <w:ilvl w:val="0"/>
          <w:numId w:val="44"/>
        </w:numPr>
        <w:spacing w:before="0" w:beforeAutospacing="0" w:after="0" w:afterAutospacing="0"/>
        <w:jc w:val="both"/>
        <w:rPr>
          <w:rFonts w:ascii="Arial" w:hAnsi="Arial" w:cs="Arial"/>
          <w:i/>
        </w:rPr>
      </w:pPr>
      <w:r>
        <w:rPr>
          <w:rFonts w:ascii="Arial" w:hAnsi="Arial" w:cs="Arial"/>
          <w:i/>
        </w:rPr>
        <w:t xml:space="preserve">Geographical </w:t>
      </w:r>
      <w:r w:rsidRPr="00C6352E">
        <w:rPr>
          <w:rFonts w:ascii="Arial" w:hAnsi="Arial" w:cs="Arial"/>
          <w:i/>
        </w:rPr>
        <w:t>pillar</w:t>
      </w:r>
    </w:p>
    <w:p w:rsidR="000426AC" w:rsidRDefault="000426AC" w:rsidP="00566557">
      <w:pPr>
        <w:pStyle w:val="NormalWeb"/>
        <w:spacing w:before="0" w:beforeAutospacing="0" w:after="0" w:afterAutospacing="0"/>
        <w:ind w:left="360"/>
        <w:jc w:val="both"/>
        <w:rPr>
          <w:rFonts w:ascii="Arial" w:hAnsi="Arial" w:cs="Arial"/>
        </w:rPr>
      </w:pPr>
    </w:p>
    <w:p w:rsidR="007A4286" w:rsidRPr="000426AC" w:rsidRDefault="007A4286" w:rsidP="00566557">
      <w:pPr>
        <w:pStyle w:val="NormalWeb"/>
        <w:numPr>
          <w:ilvl w:val="0"/>
          <w:numId w:val="39"/>
        </w:numPr>
        <w:spacing w:before="0" w:beforeAutospacing="0" w:after="0" w:afterAutospacing="0"/>
        <w:jc w:val="both"/>
        <w:rPr>
          <w:rFonts w:ascii="Arial" w:hAnsi="Arial" w:cs="Arial"/>
        </w:rPr>
      </w:pPr>
      <w:r w:rsidRPr="000426AC">
        <w:rPr>
          <w:rFonts w:ascii="Arial" w:hAnsi="Arial" w:cs="Arial"/>
        </w:rPr>
        <w:t xml:space="preserve">Have real impact on the </w:t>
      </w:r>
      <w:r w:rsidR="000426AC">
        <w:rPr>
          <w:rFonts w:ascii="Arial" w:hAnsi="Arial" w:cs="Arial"/>
        </w:rPr>
        <w:t xml:space="preserve">cross-border </w:t>
      </w:r>
      <w:r w:rsidRPr="000426AC">
        <w:rPr>
          <w:rFonts w:ascii="Arial" w:hAnsi="Arial" w:cs="Arial"/>
        </w:rPr>
        <w:t>cooperation area</w:t>
      </w:r>
    </w:p>
    <w:p w:rsidR="007A4286" w:rsidRPr="000426AC" w:rsidRDefault="007A4286" w:rsidP="00566557">
      <w:pPr>
        <w:pStyle w:val="NormalWeb"/>
        <w:numPr>
          <w:ilvl w:val="0"/>
          <w:numId w:val="39"/>
        </w:numPr>
        <w:spacing w:before="0" w:beforeAutospacing="0" w:after="0" w:afterAutospacing="0"/>
        <w:jc w:val="both"/>
        <w:rPr>
          <w:rFonts w:ascii="Arial" w:hAnsi="Arial" w:cs="Arial"/>
        </w:rPr>
      </w:pPr>
      <w:r w:rsidRPr="000426AC">
        <w:rPr>
          <w:rFonts w:ascii="Arial" w:hAnsi="Arial" w:cs="Arial"/>
        </w:rPr>
        <w:t>Bring tangible and visible results</w:t>
      </w:r>
    </w:p>
    <w:p w:rsidR="007A4286" w:rsidRPr="000426AC" w:rsidRDefault="007A4286" w:rsidP="00566557">
      <w:pPr>
        <w:pStyle w:val="NormalWeb"/>
        <w:numPr>
          <w:ilvl w:val="0"/>
          <w:numId w:val="39"/>
        </w:numPr>
        <w:spacing w:before="0" w:beforeAutospacing="0" w:after="0" w:afterAutospacing="0"/>
        <w:jc w:val="both"/>
        <w:rPr>
          <w:rFonts w:ascii="Arial" w:hAnsi="Arial" w:cs="Arial"/>
        </w:rPr>
      </w:pPr>
      <w:r w:rsidRPr="000426AC">
        <w:rPr>
          <w:rFonts w:ascii="Arial" w:hAnsi="Arial" w:cs="Arial"/>
        </w:rPr>
        <w:t>Be sustainable</w:t>
      </w:r>
    </w:p>
    <w:p w:rsidR="007A4286" w:rsidRPr="000426AC" w:rsidRDefault="007A4286" w:rsidP="00566557">
      <w:pPr>
        <w:pStyle w:val="NormalWeb"/>
        <w:spacing w:before="0" w:beforeAutospacing="0" w:after="0" w:afterAutospacing="0"/>
        <w:jc w:val="both"/>
        <w:rPr>
          <w:rFonts w:ascii="Arial" w:hAnsi="Arial" w:cs="Arial"/>
          <w:b/>
        </w:rPr>
      </w:pPr>
    </w:p>
    <w:p w:rsidR="007A4286" w:rsidRDefault="00190E32" w:rsidP="00566557">
      <w:pPr>
        <w:pStyle w:val="NormalWeb"/>
        <w:numPr>
          <w:ilvl w:val="0"/>
          <w:numId w:val="44"/>
        </w:numPr>
        <w:spacing w:before="0" w:beforeAutospacing="0" w:after="0" w:afterAutospacing="0"/>
        <w:jc w:val="both"/>
        <w:rPr>
          <w:rFonts w:ascii="Arial" w:hAnsi="Arial" w:cs="Arial"/>
          <w:i/>
        </w:rPr>
      </w:pPr>
      <w:r>
        <w:rPr>
          <w:rFonts w:ascii="Arial" w:hAnsi="Arial" w:cs="Arial"/>
          <w:i/>
        </w:rPr>
        <w:t xml:space="preserve">Action </w:t>
      </w:r>
      <w:r w:rsidRPr="00C6352E">
        <w:rPr>
          <w:rFonts w:ascii="Arial" w:hAnsi="Arial" w:cs="Arial"/>
          <w:i/>
        </w:rPr>
        <w:t>pillar</w:t>
      </w:r>
    </w:p>
    <w:p w:rsidR="000426AC" w:rsidRPr="000426AC" w:rsidRDefault="000426AC" w:rsidP="00566557">
      <w:pPr>
        <w:pStyle w:val="NormalWeb"/>
        <w:spacing w:before="0" w:beforeAutospacing="0" w:after="0" w:afterAutospacing="0"/>
        <w:jc w:val="both"/>
        <w:rPr>
          <w:rFonts w:ascii="Arial" w:hAnsi="Arial" w:cs="Arial"/>
          <w:i/>
        </w:rPr>
      </w:pPr>
    </w:p>
    <w:p w:rsidR="000426AC" w:rsidRDefault="007A4286" w:rsidP="00566557">
      <w:pPr>
        <w:pStyle w:val="NormalWeb"/>
        <w:numPr>
          <w:ilvl w:val="0"/>
          <w:numId w:val="38"/>
        </w:numPr>
        <w:spacing w:before="0" w:beforeAutospacing="0" w:after="0" w:afterAutospacing="0"/>
        <w:jc w:val="both"/>
        <w:rPr>
          <w:rFonts w:ascii="Arial" w:hAnsi="Arial" w:cs="Arial"/>
        </w:rPr>
      </w:pPr>
      <w:r w:rsidRPr="000426AC">
        <w:rPr>
          <w:rFonts w:ascii="Arial" w:hAnsi="Arial" w:cs="Arial"/>
        </w:rPr>
        <w:t xml:space="preserve">Built strong partnerships </w:t>
      </w:r>
    </w:p>
    <w:p w:rsidR="007A4286" w:rsidRPr="000426AC" w:rsidRDefault="000426AC" w:rsidP="00566557">
      <w:pPr>
        <w:pStyle w:val="NormalWeb"/>
        <w:numPr>
          <w:ilvl w:val="0"/>
          <w:numId w:val="38"/>
        </w:numPr>
        <w:spacing w:before="0" w:beforeAutospacing="0" w:after="0" w:afterAutospacing="0"/>
        <w:jc w:val="both"/>
        <w:rPr>
          <w:rFonts w:ascii="Arial" w:hAnsi="Arial" w:cs="Arial"/>
        </w:rPr>
      </w:pPr>
      <w:r>
        <w:rPr>
          <w:rFonts w:ascii="Arial" w:hAnsi="Arial" w:cs="Arial"/>
        </w:rPr>
        <w:t>C</w:t>
      </w:r>
      <w:r w:rsidR="007A4286" w:rsidRPr="000426AC">
        <w:rPr>
          <w:rFonts w:ascii="Arial" w:hAnsi="Arial" w:cs="Arial"/>
        </w:rPr>
        <w:t>apitalise on experiences</w:t>
      </w:r>
    </w:p>
    <w:p w:rsidR="007A4286" w:rsidRPr="000426AC" w:rsidRDefault="007A4286" w:rsidP="00566557">
      <w:pPr>
        <w:pStyle w:val="NormalWeb"/>
        <w:numPr>
          <w:ilvl w:val="0"/>
          <w:numId w:val="38"/>
        </w:numPr>
        <w:spacing w:before="0" w:beforeAutospacing="0" w:after="0" w:afterAutospacing="0"/>
        <w:jc w:val="both"/>
        <w:rPr>
          <w:rFonts w:ascii="Arial" w:hAnsi="Arial" w:cs="Arial"/>
        </w:rPr>
      </w:pPr>
      <w:r w:rsidRPr="000426AC">
        <w:rPr>
          <w:rFonts w:ascii="Arial" w:hAnsi="Arial" w:cs="Arial"/>
        </w:rPr>
        <w:t>Be innovative</w:t>
      </w:r>
    </w:p>
    <w:p w:rsidR="000426AC" w:rsidRDefault="007A4286" w:rsidP="00566557">
      <w:pPr>
        <w:pStyle w:val="NormalWeb"/>
        <w:numPr>
          <w:ilvl w:val="0"/>
          <w:numId w:val="38"/>
        </w:numPr>
        <w:spacing w:before="0" w:beforeAutospacing="0" w:after="0" w:afterAutospacing="0"/>
        <w:jc w:val="both"/>
        <w:rPr>
          <w:rFonts w:ascii="Arial" w:hAnsi="Arial" w:cs="Arial"/>
        </w:rPr>
      </w:pPr>
      <w:r w:rsidRPr="000426AC">
        <w:rPr>
          <w:rFonts w:ascii="Arial" w:hAnsi="Arial" w:cs="Arial"/>
        </w:rPr>
        <w:t xml:space="preserve">Be “holistic”/ interdisciplinary </w:t>
      </w:r>
    </w:p>
    <w:p w:rsidR="007A4286" w:rsidRPr="000426AC" w:rsidRDefault="00566557" w:rsidP="00566557">
      <w:pPr>
        <w:pStyle w:val="NormalWeb"/>
        <w:numPr>
          <w:ilvl w:val="0"/>
          <w:numId w:val="38"/>
        </w:numPr>
        <w:spacing w:before="0" w:beforeAutospacing="0" w:after="0" w:afterAutospacing="0"/>
        <w:jc w:val="both"/>
        <w:rPr>
          <w:rFonts w:ascii="Arial" w:hAnsi="Arial" w:cs="Arial"/>
        </w:rPr>
      </w:pPr>
      <w:r>
        <w:rPr>
          <w:rFonts w:ascii="Arial" w:hAnsi="Arial" w:cs="Arial"/>
        </w:rPr>
        <w:t>Be c</w:t>
      </w:r>
      <w:r w:rsidR="007A4286" w:rsidRPr="000426AC">
        <w:rPr>
          <w:rFonts w:ascii="Arial" w:hAnsi="Arial" w:cs="Arial"/>
        </w:rPr>
        <w:t>ommunicate</w:t>
      </w:r>
      <w:r>
        <w:rPr>
          <w:rFonts w:ascii="Arial" w:hAnsi="Arial" w:cs="Arial"/>
        </w:rPr>
        <w:t>d</w:t>
      </w:r>
      <w:r w:rsidR="000426AC">
        <w:rPr>
          <w:rFonts w:ascii="Arial" w:hAnsi="Arial" w:cs="Arial"/>
        </w:rPr>
        <w:t xml:space="preserve"> properly</w:t>
      </w:r>
    </w:p>
    <w:p w:rsidR="00566557" w:rsidRDefault="00566557" w:rsidP="00566557">
      <w:pPr>
        <w:spacing w:after="0" w:line="240" w:lineRule="auto"/>
        <w:jc w:val="both"/>
        <w:rPr>
          <w:rFonts w:ascii="Arial" w:hAnsi="Arial" w:cs="Arial"/>
          <w:sz w:val="24"/>
          <w:szCs w:val="24"/>
        </w:rPr>
      </w:pPr>
    </w:p>
    <w:p w:rsidR="00190E32" w:rsidRDefault="00190E32" w:rsidP="00566557">
      <w:pPr>
        <w:spacing w:after="0" w:line="240" w:lineRule="auto"/>
        <w:jc w:val="both"/>
        <w:rPr>
          <w:rFonts w:ascii="Arial" w:hAnsi="Arial" w:cs="Arial"/>
          <w:sz w:val="24"/>
          <w:szCs w:val="24"/>
        </w:rPr>
      </w:pPr>
      <w:r w:rsidRPr="00C6352E">
        <w:rPr>
          <w:rFonts w:ascii="Arial" w:hAnsi="Arial" w:cs="Arial"/>
          <w:sz w:val="24"/>
          <w:szCs w:val="24"/>
        </w:rPr>
        <w:t>These three pillars can be further analysed to a number of imp</w:t>
      </w:r>
      <w:r w:rsidR="002A7698" w:rsidRPr="00C6352E">
        <w:rPr>
          <w:rFonts w:ascii="Arial" w:hAnsi="Arial" w:cs="Arial"/>
          <w:sz w:val="24"/>
          <w:szCs w:val="24"/>
        </w:rPr>
        <w:t>ortant dimensions as it was</w:t>
      </w:r>
      <w:r w:rsidRPr="00C6352E">
        <w:rPr>
          <w:rFonts w:ascii="Arial" w:hAnsi="Arial" w:cs="Arial"/>
          <w:sz w:val="24"/>
          <w:szCs w:val="24"/>
        </w:rPr>
        <w:t xml:space="preserve"> discussed and illustrated in the analysis of the </w:t>
      </w:r>
      <w:r w:rsidR="00C6352E" w:rsidRPr="00C6352E">
        <w:rPr>
          <w:rFonts w:ascii="Arial" w:hAnsi="Arial" w:cs="Arial"/>
          <w:sz w:val="24"/>
          <w:szCs w:val="24"/>
        </w:rPr>
        <w:t xml:space="preserve">responses to the </w:t>
      </w:r>
      <w:r w:rsidRPr="00C6352E">
        <w:rPr>
          <w:rFonts w:ascii="Arial" w:hAnsi="Arial" w:cs="Arial"/>
          <w:sz w:val="24"/>
          <w:szCs w:val="24"/>
        </w:rPr>
        <w:t>questionnaire</w:t>
      </w:r>
      <w:r w:rsidR="002A7698" w:rsidRPr="00C6352E">
        <w:rPr>
          <w:rFonts w:ascii="Arial" w:hAnsi="Arial" w:cs="Arial"/>
          <w:sz w:val="24"/>
          <w:szCs w:val="24"/>
        </w:rPr>
        <w:t>, p 13-15</w:t>
      </w:r>
      <w:r w:rsidRPr="00C6352E">
        <w:rPr>
          <w:rFonts w:ascii="Arial" w:hAnsi="Arial" w:cs="Arial"/>
          <w:sz w:val="24"/>
          <w:szCs w:val="24"/>
        </w:rPr>
        <w:t xml:space="preserve"> (Annex 5).</w:t>
      </w:r>
    </w:p>
    <w:p w:rsidR="00190E32" w:rsidRDefault="00190E32" w:rsidP="00566557">
      <w:pPr>
        <w:spacing w:after="0" w:line="240" w:lineRule="auto"/>
        <w:jc w:val="both"/>
        <w:rPr>
          <w:rFonts w:ascii="Arial" w:hAnsi="Arial" w:cs="Arial"/>
          <w:sz w:val="24"/>
          <w:szCs w:val="24"/>
        </w:rPr>
      </w:pPr>
    </w:p>
    <w:p w:rsidR="00CC0C41" w:rsidRDefault="00F1172A" w:rsidP="00566557">
      <w:pPr>
        <w:spacing w:after="0" w:line="240" w:lineRule="auto"/>
        <w:jc w:val="both"/>
        <w:rPr>
          <w:rFonts w:ascii="Arial" w:hAnsi="Arial" w:cs="Arial"/>
          <w:sz w:val="24"/>
          <w:szCs w:val="24"/>
        </w:rPr>
      </w:pPr>
      <w:r w:rsidRPr="008B7576">
        <w:rPr>
          <w:rFonts w:ascii="Arial" w:hAnsi="Arial" w:cs="Arial"/>
          <w:sz w:val="24"/>
          <w:szCs w:val="24"/>
        </w:rPr>
        <w:t>The procurement of these strategic projects was carried out by service, supply o</w:t>
      </w:r>
      <w:r>
        <w:rPr>
          <w:rFonts w:ascii="Arial" w:hAnsi="Arial" w:cs="Arial"/>
          <w:sz w:val="24"/>
          <w:szCs w:val="24"/>
        </w:rPr>
        <w:t>r works tenders, for which the contracting a</w:t>
      </w:r>
      <w:r w:rsidRPr="008B7576">
        <w:rPr>
          <w:rFonts w:ascii="Arial" w:hAnsi="Arial" w:cs="Arial"/>
          <w:sz w:val="24"/>
          <w:szCs w:val="24"/>
        </w:rPr>
        <w:t>uthorities required terms of reference and/or technical specifications. The O</w:t>
      </w:r>
      <w:r>
        <w:rPr>
          <w:rFonts w:ascii="Arial" w:hAnsi="Arial" w:cs="Arial"/>
          <w:sz w:val="24"/>
          <w:szCs w:val="24"/>
        </w:rPr>
        <w:t>Ss</w:t>
      </w:r>
      <w:r w:rsidRPr="008B7576">
        <w:rPr>
          <w:rFonts w:ascii="Arial" w:hAnsi="Arial" w:cs="Arial"/>
          <w:sz w:val="24"/>
          <w:szCs w:val="24"/>
        </w:rPr>
        <w:t xml:space="preserve"> with the assistance of </w:t>
      </w:r>
      <w:r>
        <w:rPr>
          <w:rFonts w:ascii="Arial" w:hAnsi="Arial" w:cs="Arial"/>
          <w:sz w:val="24"/>
          <w:szCs w:val="24"/>
        </w:rPr>
        <w:t>the Joint Technical Secretariats (</w:t>
      </w:r>
      <w:r w:rsidRPr="008B7576">
        <w:rPr>
          <w:rFonts w:ascii="Arial" w:hAnsi="Arial" w:cs="Arial"/>
          <w:sz w:val="24"/>
          <w:szCs w:val="24"/>
        </w:rPr>
        <w:t>JTS</w:t>
      </w:r>
      <w:r>
        <w:rPr>
          <w:rFonts w:ascii="Arial" w:hAnsi="Arial" w:cs="Arial"/>
          <w:sz w:val="24"/>
          <w:szCs w:val="24"/>
        </w:rPr>
        <w:t>s)</w:t>
      </w:r>
      <w:r w:rsidR="00D9128C">
        <w:rPr>
          <w:rFonts w:ascii="Arial" w:hAnsi="Arial" w:cs="Arial"/>
          <w:sz w:val="24"/>
          <w:szCs w:val="24"/>
        </w:rPr>
        <w:t xml:space="preserve"> and line Ministries</w:t>
      </w:r>
      <w:r w:rsidRPr="008B7576">
        <w:rPr>
          <w:rFonts w:ascii="Arial" w:hAnsi="Arial" w:cs="Arial"/>
          <w:sz w:val="24"/>
          <w:szCs w:val="24"/>
        </w:rPr>
        <w:t xml:space="preserve"> were in charge of </w:t>
      </w:r>
      <w:r w:rsidR="003F08CF">
        <w:rPr>
          <w:rFonts w:ascii="Arial" w:hAnsi="Arial" w:cs="Arial"/>
          <w:sz w:val="24"/>
          <w:szCs w:val="24"/>
        </w:rPr>
        <w:t xml:space="preserve">gathering and even </w:t>
      </w:r>
      <w:r w:rsidRPr="008B7576">
        <w:rPr>
          <w:rFonts w:ascii="Arial" w:hAnsi="Arial" w:cs="Arial"/>
          <w:sz w:val="24"/>
          <w:szCs w:val="24"/>
        </w:rPr>
        <w:t>elaborating these</w:t>
      </w:r>
      <w:r w:rsidR="003F08CF">
        <w:rPr>
          <w:rFonts w:ascii="Arial" w:hAnsi="Arial" w:cs="Arial"/>
          <w:sz w:val="24"/>
          <w:szCs w:val="24"/>
        </w:rPr>
        <w:t xml:space="preserve"> indispensable</w:t>
      </w:r>
      <w:r w:rsidRPr="008B7576">
        <w:rPr>
          <w:rFonts w:ascii="Arial" w:hAnsi="Arial" w:cs="Arial"/>
          <w:sz w:val="24"/>
          <w:szCs w:val="24"/>
        </w:rPr>
        <w:t xml:space="preserve"> tender documents, while t</w:t>
      </w:r>
      <w:r w:rsidR="003F08CF">
        <w:rPr>
          <w:rFonts w:ascii="Arial" w:hAnsi="Arial" w:cs="Arial"/>
          <w:sz w:val="24"/>
          <w:szCs w:val="24"/>
        </w:rPr>
        <w:t>he respective contracting a</w:t>
      </w:r>
      <w:r w:rsidRPr="008B7576">
        <w:rPr>
          <w:rFonts w:ascii="Arial" w:hAnsi="Arial" w:cs="Arial"/>
          <w:sz w:val="24"/>
          <w:szCs w:val="24"/>
        </w:rPr>
        <w:t>uthorities would tender and contract projects based on the standard PRAG procedures.</w:t>
      </w:r>
    </w:p>
    <w:p w:rsidR="00F1172A" w:rsidRPr="008B7576" w:rsidRDefault="00F1172A" w:rsidP="00566557">
      <w:pPr>
        <w:spacing w:after="0" w:line="240" w:lineRule="auto"/>
        <w:jc w:val="both"/>
        <w:rPr>
          <w:rFonts w:ascii="Arial" w:hAnsi="Arial" w:cs="Arial"/>
          <w:sz w:val="24"/>
          <w:szCs w:val="24"/>
        </w:rPr>
      </w:pPr>
    </w:p>
    <w:p w:rsidR="0058708F" w:rsidRDefault="00F1172A" w:rsidP="00566557">
      <w:pPr>
        <w:spacing w:after="0" w:line="240" w:lineRule="auto"/>
        <w:jc w:val="both"/>
        <w:rPr>
          <w:rFonts w:ascii="Arial" w:hAnsi="Arial" w:cs="Arial"/>
          <w:sz w:val="24"/>
          <w:szCs w:val="24"/>
        </w:rPr>
      </w:pPr>
      <w:r w:rsidRPr="008B7576">
        <w:rPr>
          <w:rFonts w:ascii="Arial" w:hAnsi="Arial" w:cs="Arial"/>
          <w:sz w:val="24"/>
          <w:szCs w:val="24"/>
        </w:rPr>
        <w:t xml:space="preserve">Several programmes used the option of financing strategic projects in the lifespan of </w:t>
      </w:r>
      <w:r w:rsidR="000426AC">
        <w:rPr>
          <w:rFonts w:ascii="Arial" w:hAnsi="Arial" w:cs="Arial"/>
          <w:sz w:val="24"/>
          <w:szCs w:val="24"/>
        </w:rPr>
        <w:t xml:space="preserve">2007-2013 </w:t>
      </w:r>
      <w:r w:rsidRPr="008B7576">
        <w:rPr>
          <w:rFonts w:ascii="Arial" w:hAnsi="Arial" w:cs="Arial"/>
          <w:sz w:val="24"/>
          <w:szCs w:val="24"/>
        </w:rPr>
        <w:t xml:space="preserve">IPA more or less successfully. However, while gathering information on the strategic projects implemented, the entire process </w:t>
      </w:r>
      <w:r w:rsidR="003F08CF">
        <w:rPr>
          <w:rFonts w:ascii="Arial" w:hAnsi="Arial" w:cs="Arial"/>
          <w:sz w:val="24"/>
          <w:szCs w:val="24"/>
        </w:rPr>
        <w:t>does not appear to have</w:t>
      </w:r>
      <w:r w:rsidRPr="008B7576">
        <w:rPr>
          <w:rFonts w:ascii="Arial" w:hAnsi="Arial" w:cs="Arial"/>
          <w:sz w:val="24"/>
          <w:szCs w:val="24"/>
        </w:rPr>
        <w:t xml:space="preserve"> received the ri</w:t>
      </w:r>
      <w:r w:rsidR="00400DFD">
        <w:rPr>
          <w:rFonts w:ascii="Arial" w:hAnsi="Arial" w:cs="Arial"/>
          <w:sz w:val="24"/>
          <w:szCs w:val="24"/>
        </w:rPr>
        <w:t>ght communication</w:t>
      </w:r>
      <w:r w:rsidRPr="008B7576">
        <w:rPr>
          <w:rFonts w:ascii="Arial" w:hAnsi="Arial" w:cs="Arial"/>
          <w:sz w:val="24"/>
          <w:szCs w:val="24"/>
        </w:rPr>
        <w:t xml:space="preserve">, publicity and visibility treatment as it has been rather challenging to obtain relevant information through public means. </w:t>
      </w:r>
    </w:p>
    <w:p w:rsidR="003F08CF" w:rsidRDefault="003F08CF" w:rsidP="00566557">
      <w:pPr>
        <w:spacing w:after="0" w:line="240" w:lineRule="auto"/>
        <w:jc w:val="both"/>
        <w:rPr>
          <w:rFonts w:ascii="Arial" w:hAnsi="Arial" w:cs="Arial"/>
          <w:sz w:val="24"/>
          <w:szCs w:val="24"/>
        </w:rPr>
      </w:pPr>
    </w:p>
    <w:p w:rsidR="00DA2F59" w:rsidRPr="00DA2F59" w:rsidRDefault="00DA2F59" w:rsidP="00DA2F59">
      <w:pPr>
        <w:pStyle w:val="Heading2"/>
      </w:pPr>
      <w:bookmarkStart w:id="6" w:name="_Toc485980985"/>
      <w:r>
        <w:t>3.3 Experience so far</w:t>
      </w:r>
      <w:bookmarkEnd w:id="6"/>
    </w:p>
    <w:p w:rsidR="00DA2F59" w:rsidRPr="003F08CF" w:rsidRDefault="00DA2F59" w:rsidP="003F08CF">
      <w:pPr>
        <w:spacing w:after="0" w:line="240" w:lineRule="auto"/>
        <w:jc w:val="both"/>
        <w:rPr>
          <w:rFonts w:ascii="Arial" w:hAnsi="Arial" w:cs="Arial"/>
          <w:sz w:val="24"/>
          <w:szCs w:val="24"/>
        </w:rPr>
      </w:pPr>
    </w:p>
    <w:p w:rsidR="003F08CF" w:rsidRPr="003F08CF" w:rsidRDefault="0075164D" w:rsidP="003F08CF">
      <w:pPr>
        <w:pStyle w:val="ListParagraph"/>
        <w:spacing w:after="0" w:line="240" w:lineRule="auto"/>
        <w:ind w:left="0"/>
        <w:jc w:val="both"/>
        <w:rPr>
          <w:rFonts w:ascii="Arial" w:hAnsi="Arial" w:cs="Arial"/>
          <w:sz w:val="24"/>
          <w:szCs w:val="24"/>
        </w:rPr>
      </w:pPr>
      <w:r>
        <w:rPr>
          <w:rFonts w:ascii="Arial" w:hAnsi="Arial" w:cs="Arial"/>
          <w:sz w:val="24"/>
          <w:szCs w:val="24"/>
        </w:rPr>
        <w:t>Based on an earlier</w:t>
      </w:r>
      <w:r w:rsidR="00DA2F59">
        <w:rPr>
          <w:rFonts w:ascii="Arial" w:hAnsi="Arial" w:cs="Arial"/>
          <w:sz w:val="24"/>
          <w:szCs w:val="24"/>
        </w:rPr>
        <w:t xml:space="preserve"> request by the Commission</w:t>
      </w:r>
      <w:r w:rsidR="00A01C52">
        <w:rPr>
          <w:rFonts w:ascii="Arial" w:hAnsi="Arial" w:cs="Arial"/>
          <w:sz w:val="24"/>
          <w:szCs w:val="24"/>
        </w:rPr>
        <w:t xml:space="preserve"> (prior </w:t>
      </w:r>
      <w:r w:rsidR="00D9128C">
        <w:rPr>
          <w:rFonts w:ascii="Arial" w:hAnsi="Arial" w:cs="Arial"/>
          <w:sz w:val="24"/>
          <w:szCs w:val="24"/>
        </w:rPr>
        <w:t xml:space="preserve">to </w:t>
      </w:r>
      <w:r w:rsidR="00A01C52">
        <w:rPr>
          <w:rFonts w:ascii="Arial" w:hAnsi="Arial" w:cs="Arial"/>
          <w:sz w:val="24"/>
          <w:szCs w:val="24"/>
        </w:rPr>
        <w:t>the 3</w:t>
      </w:r>
      <w:r w:rsidR="00A01C52" w:rsidRPr="00A01C52">
        <w:rPr>
          <w:rFonts w:ascii="Arial" w:hAnsi="Arial" w:cs="Arial"/>
          <w:sz w:val="24"/>
          <w:szCs w:val="24"/>
          <w:vertAlign w:val="superscript"/>
        </w:rPr>
        <w:t>rd</w:t>
      </w:r>
      <w:r w:rsidR="00A01C52">
        <w:rPr>
          <w:rFonts w:ascii="Arial" w:hAnsi="Arial" w:cs="Arial"/>
          <w:sz w:val="24"/>
          <w:szCs w:val="24"/>
        </w:rPr>
        <w:t xml:space="preserve"> CBC Forum</w:t>
      </w:r>
      <w:r w:rsidR="00DA2F59">
        <w:rPr>
          <w:rFonts w:ascii="Arial" w:hAnsi="Arial" w:cs="Arial"/>
          <w:sz w:val="24"/>
          <w:szCs w:val="24"/>
        </w:rPr>
        <w:t xml:space="preserve"> held in June 2015</w:t>
      </w:r>
      <w:r w:rsidR="00A01C52">
        <w:rPr>
          <w:rFonts w:ascii="Arial" w:hAnsi="Arial" w:cs="Arial"/>
          <w:sz w:val="24"/>
          <w:szCs w:val="24"/>
        </w:rPr>
        <w:t>)</w:t>
      </w:r>
      <w:r w:rsidR="003F08CF" w:rsidRPr="003F08CF">
        <w:rPr>
          <w:rFonts w:ascii="Arial" w:hAnsi="Arial" w:cs="Arial"/>
          <w:sz w:val="24"/>
          <w:szCs w:val="24"/>
        </w:rPr>
        <w:t xml:space="preserve">, the CBIB+ project team tried to collect information </w:t>
      </w:r>
      <w:r>
        <w:rPr>
          <w:rFonts w:ascii="Arial" w:hAnsi="Arial" w:cs="Arial"/>
          <w:sz w:val="24"/>
          <w:szCs w:val="24"/>
        </w:rPr>
        <w:t xml:space="preserve">(mainly via communication with the OSs, JTSs and DEUs) </w:t>
      </w:r>
      <w:r w:rsidR="003F08CF" w:rsidRPr="003F08CF">
        <w:rPr>
          <w:rFonts w:ascii="Arial" w:hAnsi="Arial" w:cs="Arial"/>
          <w:sz w:val="24"/>
          <w:szCs w:val="24"/>
        </w:rPr>
        <w:t xml:space="preserve">on the implementation of strategic projects under the </w:t>
      </w:r>
      <w:r w:rsidR="003F08CF">
        <w:rPr>
          <w:rFonts w:ascii="Arial" w:hAnsi="Arial" w:cs="Arial"/>
          <w:sz w:val="24"/>
          <w:szCs w:val="24"/>
        </w:rPr>
        <w:t xml:space="preserve">2007-2013 </w:t>
      </w:r>
      <w:r w:rsidR="003F08CF" w:rsidRPr="003F08CF">
        <w:rPr>
          <w:rFonts w:ascii="Arial" w:hAnsi="Arial" w:cs="Arial"/>
          <w:sz w:val="24"/>
          <w:szCs w:val="24"/>
        </w:rPr>
        <w:t xml:space="preserve">CBC programmes. </w:t>
      </w:r>
      <w:r w:rsidR="003F08CF" w:rsidRPr="00C6352E">
        <w:rPr>
          <w:rFonts w:ascii="Arial" w:hAnsi="Arial" w:cs="Arial"/>
          <w:sz w:val="24"/>
          <w:szCs w:val="24"/>
        </w:rPr>
        <w:t xml:space="preserve">The main findings of such an </w:t>
      </w:r>
      <w:r w:rsidR="00D77C82" w:rsidRPr="00C6352E">
        <w:rPr>
          <w:rFonts w:ascii="Arial" w:hAnsi="Arial" w:cs="Arial"/>
          <w:sz w:val="24"/>
          <w:szCs w:val="24"/>
        </w:rPr>
        <w:t>exercise, which</w:t>
      </w:r>
      <w:r w:rsidR="002A7698" w:rsidRPr="00C6352E">
        <w:rPr>
          <w:rFonts w:ascii="Arial" w:hAnsi="Arial" w:cs="Arial"/>
          <w:sz w:val="24"/>
          <w:szCs w:val="24"/>
        </w:rPr>
        <w:t xml:space="preserve"> were also </w:t>
      </w:r>
      <w:r w:rsidR="00D77C82" w:rsidRPr="00C6352E">
        <w:rPr>
          <w:rFonts w:ascii="Arial" w:hAnsi="Arial" w:cs="Arial"/>
          <w:sz w:val="24"/>
          <w:szCs w:val="24"/>
        </w:rPr>
        <w:t>validated th</w:t>
      </w:r>
      <w:r w:rsidR="00C6352E" w:rsidRPr="00C6352E">
        <w:rPr>
          <w:rFonts w:ascii="Arial" w:hAnsi="Arial" w:cs="Arial"/>
          <w:sz w:val="24"/>
          <w:szCs w:val="24"/>
        </w:rPr>
        <w:t>r</w:t>
      </w:r>
      <w:r w:rsidR="00D77C82" w:rsidRPr="00C6352E">
        <w:rPr>
          <w:rFonts w:ascii="Arial" w:hAnsi="Arial" w:cs="Arial"/>
          <w:sz w:val="24"/>
          <w:szCs w:val="24"/>
        </w:rPr>
        <w:t>ough the performed analysis (Annex 5)</w:t>
      </w:r>
      <w:r w:rsidR="00C6352E" w:rsidRPr="00C6352E">
        <w:rPr>
          <w:rFonts w:ascii="Arial" w:hAnsi="Arial" w:cs="Arial"/>
          <w:sz w:val="24"/>
          <w:szCs w:val="24"/>
        </w:rPr>
        <w:t>,</w:t>
      </w:r>
      <w:r w:rsidR="003F08CF" w:rsidRPr="003F08CF">
        <w:rPr>
          <w:rFonts w:ascii="Arial" w:hAnsi="Arial" w:cs="Arial"/>
          <w:sz w:val="24"/>
          <w:szCs w:val="24"/>
        </w:rPr>
        <w:t xml:space="preserve"> can be summarised as follows: </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Default="003F08CF" w:rsidP="003F08CF">
      <w:pPr>
        <w:pStyle w:val="ListParagraph"/>
        <w:numPr>
          <w:ilvl w:val="0"/>
          <w:numId w:val="25"/>
        </w:numPr>
        <w:spacing w:after="0" w:line="240" w:lineRule="auto"/>
        <w:jc w:val="both"/>
        <w:rPr>
          <w:rFonts w:ascii="Arial" w:hAnsi="Arial" w:cs="Arial"/>
          <w:sz w:val="24"/>
          <w:szCs w:val="24"/>
        </w:rPr>
      </w:pPr>
      <w:r w:rsidRPr="003F08CF">
        <w:rPr>
          <w:rFonts w:ascii="Arial" w:hAnsi="Arial" w:cs="Arial"/>
          <w:sz w:val="24"/>
          <w:szCs w:val="24"/>
        </w:rPr>
        <w:t xml:space="preserve">Scarce visibility: Information regarding strategic projects, their selection and implementation </w:t>
      </w:r>
      <w:r w:rsidR="0027395B">
        <w:rPr>
          <w:rFonts w:ascii="Arial" w:hAnsi="Arial" w:cs="Arial"/>
          <w:sz w:val="24"/>
          <w:szCs w:val="24"/>
        </w:rPr>
        <w:t>was</w:t>
      </w:r>
      <w:r w:rsidRPr="003F08CF">
        <w:rPr>
          <w:rFonts w:ascii="Arial" w:hAnsi="Arial" w:cs="Arial"/>
          <w:sz w:val="24"/>
          <w:szCs w:val="24"/>
        </w:rPr>
        <w:t xml:space="preserve"> neither available on the relevant programme websites, nor on the websites of the relevant DEUs. The process of selection and implementation of strategic projects throughout the WB d</w:t>
      </w:r>
      <w:r w:rsidR="0027395B">
        <w:rPr>
          <w:rFonts w:ascii="Arial" w:hAnsi="Arial" w:cs="Arial"/>
          <w:sz w:val="24"/>
          <w:szCs w:val="24"/>
        </w:rPr>
        <w:t>id</w:t>
      </w:r>
      <w:r w:rsidRPr="003F08CF">
        <w:rPr>
          <w:rFonts w:ascii="Arial" w:hAnsi="Arial" w:cs="Arial"/>
          <w:sz w:val="24"/>
          <w:szCs w:val="24"/>
        </w:rPr>
        <w:t xml:space="preserve"> not seem to have received the visibility and publicity required. It appear</w:t>
      </w:r>
      <w:r w:rsidR="0027395B">
        <w:rPr>
          <w:rFonts w:ascii="Arial" w:hAnsi="Arial" w:cs="Arial"/>
          <w:sz w:val="24"/>
          <w:szCs w:val="24"/>
        </w:rPr>
        <w:t>ed</w:t>
      </w:r>
      <w:r w:rsidRPr="003F08CF">
        <w:rPr>
          <w:rFonts w:ascii="Arial" w:hAnsi="Arial" w:cs="Arial"/>
          <w:sz w:val="24"/>
          <w:szCs w:val="24"/>
        </w:rPr>
        <w:t xml:space="preserve"> that the selection of these projects is the result of political pressure and influence.</w:t>
      </w:r>
    </w:p>
    <w:p w:rsidR="00400DFD" w:rsidRPr="003F08CF" w:rsidRDefault="00400DFD" w:rsidP="00400DFD">
      <w:pPr>
        <w:pStyle w:val="ListParagraph"/>
        <w:spacing w:after="0" w:line="240" w:lineRule="auto"/>
        <w:jc w:val="both"/>
        <w:rPr>
          <w:rFonts w:ascii="Arial" w:hAnsi="Arial" w:cs="Arial"/>
          <w:sz w:val="24"/>
          <w:szCs w:val="24"/>
        </w:rPr>
      </w:pPr>
    </w:p>
    <w:p w:rsidR="003F08CF" w:rsidRDefault="003F08CF" w:rsidP="003F08CF">
      <w:pPr>
        <w:pStyle w:val="ListParagraph"/>
        <w:numPr>
          <w:ilvl w:val="0"/>
          <w:numId w:val="25"/>
        </w:numPr>
        <w:spacing w:after="0" w:line="240" w:lineRule="auto"/>
        <w:jc w:val="both"/>
        <w:rPr>
          <w:rFonts w:ascii="Arial" w:hAnsi="Arial" w:cs="Arial"/>
          <w:sz w:val="24"/>
          <w:szCs w:val="24"/>
        </w:rPr>
      </w:pPr>
      <w:r w:rsidRPr="003F08CF">
        <w:rPr>
          <w:rFonts w:ascii="Arial" w:hAnsi="Arial" w:cs="Arial"/>
          <w:sz w:val="24"/>
          <w:szCs w:val="24"/>
        </w:rPr>
        <w:lastRenderedPageBreak/>
        <w:t xml:space="preserve">These operations </w:t>
      </w:r>
      <w:r w:rsidR="0027395B">
        <w:rPr>
          <w:rFonts w:ascii="Arial" w:hAnsi="Arial" w:cs="Arial"/>
          <w:sz w:val="24"/>
          <w:szCs w:val="24"/>
        </w:rPr>
        <w:t>were</w:t>
      </w:r>
      <w:r w:rsidRPr="003F08CF">
        <w:rPr>
          <w:rFonts w:ascii="Arial" w:hAnsi="Arial" w:cs="Arial"/>
          <w:sz w:val="24"/>
          <w:szCs w:val="24"/>
        </w:rPr>
        <w:t xml:space="preserve">, in most cases, treated as simple procurement procedures for services, supplies and works. The achievement of results and objectives was not monitored, or when monitored only on an output basis. The outcomes and impact of these projects were not </w:t>
      </w:r>
      <w:r w:rsidR="00D9128C">
        <w:rPr>
          <w:rFonts w:ascii="Arial" w:hAnsi="Arial" w:cs="Arial"/>
          <w:sz w:val="24"/>
          <w:szCs w:val="24"/>
        </w:rPr>
        <w:t xml:space="preserve">always </w:t>
      </w:r>
      <w:r w:rsidRPr="003F08CF">
        <w:rPr>
          <w:rFonts w:ascii="Arial" w:hAnsi="Arial" w:cs="Arial"/>
          <w:sz w:val="24"/>
          <w:szCs w:val="24"/>
        </w:rPr>
        <w:t>reported in</w:t>
      </w:r>
      <w:r w:rsidR="00400DFD">
        <w:rPr>
          <w:rFonts w:ascii="Arial" w:hAnsi="Arial" w:cs="Arial"/>
          <w:sz w:val="24"/>
          <w:szCs w:val="24"/>
        </w:rPr>
        <w:t>,</w:t>
      </w:r>
      <w:r w:rsidRPr="003F08CF">
        <w:rPr>
          <w:rFonts w:ascii="Arial" w:hAnsi="Arial" w:cs="Arial"/>
          <w:sz w:val="24"/>
          <w:szCs w:val="24"/>
        </w:rPr>
        <w:t xml:space="preserve"> for instance</w:t>
      </w:r>
      <w:r w:rsidR="00400DFD">
        <w:rPr>
          <w:rFonts w:ascii="Arial" w:hAnsi="Arial" w:cs="Arial"/>
          <w:sz w:val="24"/>
          <w:szCs w:val="24"/>
        </w:rPr>
        <w:t>,</w:t>
      </w:r>
      <w:r w:rsidRPr="003F08CF">
        <w:rPr>
          <w:rFonts w:ascii="Arial" w:hAnsi="Arial" w:cs="Arial"/>
          <w:sz w:val="24"/>
          <w:szCs w:val="24"/>
        </w:rPr>
        <w:t xml:space="preserve"> the CBC annual implementation reports.</w:t>
      </w:r>
      <w:r w:rsidR="00D77C82">
        <w:rPr>
          <w:rFonts w:ascii="Arial" w:hAnsi="Arial" w:cs="Arial"/>
          <w:sz w:val="24"/>
          <w:szCs w:val="24"/>
        </w:rPr>
        <w:t xml:space="preserve"> </w:t>
      </w:r>
    </w:p>
    <w:p w:rsidR="00400DFD" w:rsidRPr="00400DFD" w:rsidRDefault="00400DFD" w:rsidP="00400DFD">
      <w:pPr>
        <w:pStyle w:val="ListParagraph"/>
        <w:rPr>
          <w:rFonts w:ascii="Arial" w:hAnsi="Arial" w:cs="Arial"/>
          <w:sz w:val="24"/>
          <w:szCs w:val="24"/>
        </w:rPr>
      </w:pPr>
    </w:p>
    <w:p w:rsidR="003F08CF" w:rsidRDefault="003F08CF" w:rsidP="003F08CF">
      <w:pPr>
        <w:pStyle w:val="ListParagraph"/>
        <w:numPr>
          <w:ilvl w:val="0"/>
          <w:numId w:val="25"/>
        </w:numPr>
        <w:spacing w:after="0" w:line="240" w:lineRule="auto"/>
        <w:jc w:val="both"/>
        <w:rPr>
          <w:rFonts w:ascii="Arial" w:hAnsi="Arial" w:cs="Arial"/>
          <w:sz w:val="24"/>
          <w:szCs w:val="24"/>
        </w:rPr>
      </w:pPr>
      <w:r w:rsidRPr="003F08CF">
        <w:rPr>
          <w:rFonts w:ascii="Arial" w:hAnsi="Arial" w:cs="Arial"/>
          <w:sz w:val="24"/>
          <w:szCs w:val="24"/>
        </w:rPr>
        <w:t xml:space="preserve">Project fiches for strategic projects </w:t>
      </w:r>
      <w:r w:rsidR="0027395B">
        <w:rPr>
          <w:rFonts w:ascii="Arial" w:hAnsi="Arial" w:cs="Arial"/>
          <w:sz w:val="24"/>
          <w:szCs w:val="24"/>
        </w:rPr>
        <w:t>were</w:t>
      </w:r>
      <w:r w:rsidRPr="003F08CF">
        <w:rPr>
          <w:rFonts w:ascii="Arial" w:hAnsi="Arial" w:cs="Arial"/>
          <w:sz w:val="24"/>
          <w:szCs w:val="24"/>
        </w:rPr>
        <w:t xml:space="preserve"> not easily available and the revisions of the programme documents were not made in order to include information on strategic projects at any stage. </w:t>
      </w:r>
    </w:p>
    <w:p w:rsidR="00400DFD" w:rsidRPr="00400DFD" w:rsidRDefault="00400DFD" w:rsidP="00400DFD">
      <w:pPr>
        <w:pStyle w:val="ListParagraph"/>
        <w:rPr>
          <w:rFonts w:ascii="Arial" w:hAnsi="Arial" w:cs="Arial"/>
          <w:sz w:val="24"/>
          <w:szCs w:val="24"/>
        </w:rPr>
      </w:pPr>
    </w:p>
    <w:p w:rsidR="00D77C82" w:rsidRDefault="003F08CF" w:rsidP="003F08CF">
      <w:pPr>
        <w:pStyle w:val="ListParagraph"/>
        <w:numPr>
          <w:ilvl w:val="0"/>
          <w:numId w:val="25"/>
        </w:numPr>
        <w:spacing w:after="0" w:line="240" w:lineRule="auto"/>
        <w:jc w:val="both"/>
        <w:rPr>
          <w:rFonts w:ascii="Arial" w:hAnsi="Arial" w:cs="Arial"/>
          <w:sz w:val="24"/>
          <w:szCs w:val="24"/>
        </w:rPr>
      </w:pPr>
      <w:r w:rsidRPr="003F08CF">
        <w:rPr>
          <w:rFonts w:ascii="Arial" w:hAnsi="Arial" w:cs="Arial"/>
          <w:sz w:val="24"/>
          <w:szCs w:val="24"/>
        </w:rPr>
        <w:t xml:space="preserve">The JTS </w:t>
      </w:r>
      <w:r w:rsidR="0027395B">
        <w:rPr>
          <w:rFonts w:ascii="Arial" w:hAnsi="Arial" w:cs="Arial"/>
          <w:sz w:val="24"/>
          <w:szCs w:val="24"/>
        </w:rPr>
        <w:t>was</w:t>
      </w:r>
      <w:r w:rsidRPr="003F08CF">
        <w:rPr>
          <w:rFonts w:ascii="Arial" w:hAnsi="Arial" w:cs="Arial"/>
          <w:sz w:val="24"/>
          <w:szCs w:val="24"/>
        </w:rPr>
        <w:t xml:space="preserve"> hardly involved in their implementation (i.e. </w:t>
      </w:r>
      <w:r w:rsidR="00400DFD">
        <w:rPr>
          <w:rFonts w:ascii="Arial" w:hAnsi="Arial" w:cs="Arial"/>
          <w:sz w:val="24"/>
          <w:szCs w:val="24"/>
        </w:rPr>
        <w:t xml:space="preserve">preparation, </w:t>
      </w:r>
      <w:r w:rsidRPr="003F08CF">
        <w:rPr>
          <w:rFonts w:ascii="Arial" w:hAnsi="Arial" w:cs="Arial"/>
          <w:sz w:val="24"/>
          <w:szCs w:val="24"/>
        </w:rPr>
        <w:t xml:space="preserve">monitoring, technical assistance, reporting). The JTS </w:t>
      </w:r>
      <w:r w:rsidR="0027395B">
        <w:rPr>
          <w:rFonts w:ascii="Arial" w:hAnsi="Arial" w:cs="Arial"/>
          <w:sz w:val="24"/>
          <w:szCs w:val="24"/>
        </w:rPr>
        <w:t>has</w:t>
      </w:r>
      <w:r w:rsidRPr="003F08CF">
        <w:rPr>
          <w:rFonts w:ascii="Arial" w:hAnsi="Arial" w:cs="Arial"/>
          <w:sz w:val="24"/>
          <w:szCs w:val="24"/>
        </w:rPr>
        <w:t xml:space="preserve"> practically </w:t>
      </w:r>
      <w:r w:rsidR="0027395B">
        <w:rPr>
          <w:rFonts w:ascii="Arial" w:hAnsi="Arial" w:cs="Arial"/>
          <w:sz w:val="24"/>
          <w:szCs w:val="24"/>
        </w:rPr>
        <w:t xml:space="preserve">been </w:t>
      </w:r>
      <w:r w:rsidRPr="003F08CF">
        <w:rPr>
          <w:rFonts w:ascii="Arial" w:hAnsi="Arial" w:cs="Arial"/>
          <w:sz w:val="24"/>
          <w:szCs w:val="24"/>
        </w:rPr>
        <w:t xml:space="preserve">excluded from any kind of follow up on these projects. </w:t>
      </w:r>
    </w:p>
    <w:p w:rsidR="00D77C82" w:rsidRPr="00D77C82" w:rsidRDefault="00D77C82" w:rsidP="00D77C82">
      <w:pPr>
        <w:pStyle w:val="ListParagraph"/>
        <w:rPr>
          <w:rFonts w:ascii="Arial" w:hAnsi="Arial" w:cs="Arial"/>
          <w:sz w:val="24"/>
          <w:szCs w:val="24"/>
        </w:rPr>
      </w:pPr>
    </w:p>
    <w:p w:rsidR="00D77C82" w:rsidRPr="003A3D55" w:rsidRDefault="00D77C82" w:rsidP="003F08CF">
      <w:pPr>
        <w:pStyle w:val="ListParagraph"/>
        <w:numPr>
          <w:ilvl w:val="0"/>
          <w:numId w:val="25"/>
        </w:numPr>
        <w:spacing w:after="0" w:line="240" w:lineRule="auto"/>
        <w:jc w:val="both"/>
        <w:rPr>
          <w:rFonts w:ascii="Arial" w:hAnsi="Arial" w:cs="Arial"/>
          <w:sz w:val="24"/>
          <w:szCs w:val="24"/>
        </w:rPr>
      </w:pPr>
      <w:r w:rsidRPr="003A3D55">
        <w:rPr>
          <w:rFonts w:ascii="Arial" w:hAnsi="Arial" w:cs="Arial"/>
          <w:sz w:val="24"/>
          <w:szCs w:val="24"/>
        </w:rPr>
        <w:t>There was not any harmonised approach on identifying and selecting strategic projects in the region.</w:t>
      </w:r>
    </w:p>
    <w:p w:rsidR="00D77C82" w:rsidRPr="003A3D55" w:rsidRDefault="00D77C82" w:rsidP="00D77C82">
      <w:pPr>
        <w:pStyle w:val="ListParagraph"/>
        <w:rPr>
          <w:rFonts w:ascii="Arial" w:hAnsi="Arial" w:cs="Arial"/>
          <w:sz w:val="24"/>
          <w:szCs w:val="24"/>
        </w:rPr>
      </w:pPr>
    </w:p>
    <w:p w:rsidR="00D77C82" w:rsidRPr="003A3D55" w:rsidRDefault="003A3D55" w:rsidP="003F08CF">
      <w:pPr>
        <w:pStyle w:val="ListParagraph"/>
        <w:numPr>
          <w:ilvl w:val="0"/>
          <w:numId w:val="25"/>
        </w:numPr>
        <w:spacing w:after="0" w:line="240" w:lineRule="auto"/>
        <w:jc w:val="both"/>
        <w:rPr>
          <w:rFonts w:ascii="Arial" w:hAnsi="Arial" w:cs="Arial"/>
          <w:sz w:val="24"/>
          <w:szCs w:val="24"/>
        </w:rPr>
      </w:pPr>
      <w:r w:rsidRPr="003A3D55">
        <w:rPr>
          <w:rFonts w:ascii="Arial" w:hAnsi="Arial" w:cs="Arial"/>
          <w:sz w:val="24"/>
          <w:szCs w:val="24"/>
        </w:rPr>
        <w:t>In most</w:t>
      </w:r>
      <w:r w:rsidR="00D77C82" w:rsidRPr="003A3D55">
        <w:rPr>
          <w:rFonts w:ascii="Arial" w:hAnsi="Arial" w:cs="Arial"/>
          <w:sz w:val="24"/>
          <w:szCs w:val="24"/>
        </w:rPr>
        <w:t xml:space="preserve"> cases the amount of left-overs from </w:t>
      </w:r>
      <w:r>
        <w:rPr>
          <w:rFonts w:ascii="Arial" w:hAnsi="Arial" w:cs="Arial"/>
          <w:sz w:val="24"/>
          <w:szCs w:val="24"/>
        </w:rPr>
        <w:t xml:space="preserve">the </w:t>
      </w:r>
      <w:r w:rsidR="00D77C82" w:rsidRPr="003A3D55">
        <w:rPr>
          <w:rFonts w:ascii="Arial" w:hAnsi="Arial" w:cs="Arial"/>
          <w:sz w:val="24"/>
          <w:szCs w:val="24"/>
        </w:rPr>
        <w:t>calls</w:t>
      </w:r>
      <w:r>
        <w:rPr>
          <w:rFonts w:ascii="Arial" w:hAnsi="Arial" w:cs="Arial"/>
          <w:sz w:val="24"/>
          <w:szCs w:val="24"/>
        </w:rPr>
        <w:t xml:space="preserve"> for proposals</w:t>
      </w:r>
      <w:r w:rsidR="00D77C82" w:rsidRPr="003A3D55">
        <w:rPr>
          <w:rFonts w:ascii="Arial" w:hAnsi="Arial" w:cs="Arial"/>
          <w:sz w:val="24"/>
          <w:szCs w:val="24"/>
        </w:rPr>
        <w:t xml:space="preserve"> was steering the identification and selection of a strategic project </w:t>
      </w:r>
      <w:r w:rsidRPr="003A3D55">
        <w:rPr>
          <w:rFonts w:ascii="Arial" w:hAnsi="Arial" w:cs="Arial"/>
          <w:sz w:val="24"/>
          <w:szCs w:val="24"/>
        </w:rPr>
        <w:t xml:space="preserve">that would </w:t>
      </w:r>
      <w:r>
        <w:rPr>
          <w:rFonts w:ascii="Arial" w:hAnsi="Arial" w:cs="Arial"/>
          <w:sz w:val="24"/>
          <w:szCs w:val="24"/>
        </w:rPr>
        <w:t xml:space="preserve">have to </w:t>
      </w:r>
      <w:r w:rsidRPr="003A3D55">
        <w:rPr>
          <w:rFonts w:ascii="Arial" w:hAnsi="Arial" w:cs="Arial"/>
          <w:sz w:val="24"/>
          <w:szCs w:val="24"/>
        </w:rPr>
        <w:t>match this amount</w:t>
      </w:r>
      <w:r w:rsidR="00D77C82" w:rsidRPr="003A3D55">
        <w:rPr>
          <w:rFonts w:ascii="Arial" w:hAnsi="Arial" w:cs="Arial"/>
          <w:sz w:val="24"/>
          <w:szCs w:val="24"/>
        </w:rPr>
        <w:t>.</w:t>
      </w:r>
    </w:p>
    <w:p w:rsidR="00D77C82" w:rsidRPr="003A3D55" w:rsidRDefault="00D77C82" w:rsidP="00D77C82">
      <w:pPr>
        <w:pStyle w:val="ListParagraph"/>
        <w:rPr>
          <w:rFonts w:ascii="Arial" w:hAnsi="Arial" w:cs="Arial"/>
          <w:sz w:val="24"/>
          <w:szCs w:val="24"/>
        </w:rPr>
      </w:pPr>
    </w:p>
    <w:p w:rsidR="003F08CF" w:rsidRPr="003A3D55" w:rsidRDefault="003A3D55" w:rsidP="003F08CF">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 xml:space="preserve">Channels of communication between the stakeholders for the identification and selection of questionnaires </w:t>
      </w:r>
      <w:r w:rsidR="00097514">
        <w:rPr>
          <w:rFonts w:ascii="Arial" w:hAnsi="Arial" w:cs="Arial"/>
          <w:sz w:val="24"/>
          <w:szCs w:val="24"/>
        </w:rPr>
        <w:t>remained quite rigid and formalised. There was very little informal exchange between the stakeholders.</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Pr="003F08CF" w:rsidRDefault="003F08CF" w:rsidP="003F08CF">
      <w:pPr>
        <w:pStyle w:val="ListParagraph"/>
        <w:spacing w:after="0" w:line="240" w:lineRule="auto"/>
        <w:ind w:left="0"/>
        <w:jc w:val="both"/>
        <w:rPr>
          <w:rFonts w:ascii="Arial" w:hAnsi="Arial" w:cs="Arial"/>
          <w:sz w:val="24"/>
          <w:szCs w:val="24"/>
        </w:rPr>
      </w:pPr>
      <w:r w:rsidRPr="003F08CF">
        <w:rPr>
          <w:rFonts w:ascii="Arial" w:hAnsi="Arial" w:cs="Arial"/>
          <w:sz w:val="24"/>
          <w:szCs w:val="24"/>
        </w:rPr>
        <w:t xml:space="preserve">In view of these shortcomings, the following </w:t>
      </w:r>
      <w:r w:rsidRPr="00A01C52">
        <w:rPr>
          <w:rFonts w:ascii="Arial" w:hAnsi="Arial" w:cs="Arial"/>
          <w:b/>
          <w:sz w:val="24"/>
          <w:szCs w:val="24"/>
        </w:rPr>
        <w:t>recommendations</w:t>
      </w:r>
      <w:r w:rsidRPr="003F08CF">
        <w:rPr>
          <w:rFonts w:ascii="Arial" w:hAnsi="Arial" w:cs="Arial"/>
          <w:sz w:val="24"/>
          <w:szCs w:val="24"/>
        </w:rPr>
        <w:t xml:space="preserve"> become instrumental:</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Default="003F08CF" w:rsidP="003F08CF">
      <w:pPr>
        <w:pStyle w:val="ListParagraph"/>
        <w:numPr>
          <w:ilvl w:val="0"/>
          <w:numId w:val="27"/>
        </w:numPr>
        <w:spacing w:after="0" w:line="240" w:lineRule="auto"/>
        <w:jc w:val="both"/>
        <w:rPr>
          <w:rFonts w:ascii="Arial" w:hAnsi="Arial" w:cs="Arial"/>
          <w:sz w:val="24"/>
          <w:szCs w:val="24"/>
        </w:rPr>
      </w:pPr>
      <w:r w:rsidRPr="003F08CF">
        <w:rPr>
          <w:rFonts w:ascii="Arial" w:hAnsi="Arial" w:cs="Arial"/>
          <w:sz w:val="24"/>
          <w:szCs w:val="24"/>
        </w:rPr>
        <w:t>The decision to implement a strategic project should be made taking into account the acute, pressing needs of the programme area, rather than institutional interests at central level or a fast track to spend funds left over from calls for proposals and whose contracting de</w:t>
      </w:r>
      <w:r w:rsidR="00400DFD">
        <w:rPr>
          <w:rFonts w:ascii="Arial" w:hAnsi="Arial" w:cs="Arial"/>
          <w:sz w:val="24"/>
          <w:szCs w:val="24"/>
        </w:rPr>
        <w:t>adline is so close that they serious</w:t>
      </w:r>
      <w:r w:rsidR="00DF6144">
        <w:rPr>
          <w:rFonts w:ascii="Arial" w:hAnsi="Arial" w:cs="Arial"/>
          <w:sz w:val="24"/>
          <w:szCs w:val="24"/>
        </w:rPr>
        <w:t>ly</w:t>
      </w:r>
      <w:r w:rsidR="00400DFD">
        <w:rPr>
          <w:rFonts w:ascii="Arial" w:hAnsi="Arial" w:cs="Arial"/>
          <w:sz w:val="24"/>
          <w:szCs w:val="24"/>
        </w:rPr>
        <w:t xml:space="preserve"> risk</w:t>
      </w:r>
      <w:r w:rsidRPr="003F08CF">
        <w:rPr>
          <w:rFonts w:ascii="Arial" w:hAnsi="Arial" w:cs="Arial"/>
          <w:sz w:val="24"/>
          <w:szCs w:val="24"/>
        </w:rPr>
        <w:t xml:space="preserve"> remain</w:t>
      </w:r>
      <w:r w:rsidR="00400DFD">
        <w:rPr>
          <w:rFonts w:ascii="Arial" w:hAnsi="Arial" w:cs="Arial"/>
          <w:sz w:val="24"/>
          <w:szCs w:val="24"/>
        </w:rPr>
        <w:t>ing</w:t>
      </w:r>
      <w:r w:rsidRPr="003F08CF">
        <w:rPr>
          <w:rFonts w:ascii="Arial" w:hAnsi="Arial" w:cs="Arial"/>
          <w:sz w:val="24"/>
          <w:szCs w:val="24"/>
        </w:rPr>
        <w:t xml:space="preserve"> uncommitted. This type of projects should be identified and developed during the first</w:t>
      </w:r>
      <w:r w:rsidR="0027395B">
        <w:rPr>
          <w:rFonts w:ascii="Arial" w:hAnsi="Arial" w:cs="Arial"/>
          <w:sz w:val="24"/>
          <w:szCs w:val="24"/>
        </w:rPr>
        <w:t xml:space="preserve"> and/or second</w:t>
      </w:r>
      <w:r w:rsidRPr="003F08CF">
        <w:rPr>
          <w:rFonts w:ascii="Arial" w:hAnsi="Arial" w:cs="Arial"/>
          <w:sz w:val="24"/>
          <w:szCs w:val="24"/>
        </w:rPr>
        <w:t xml:space="preserve"> year of programme implementation in order to avoid delays and plan the </w:t>
      </w:r>
      <w:r w:rsidR="00A43F64">
        <w:rPr>
          <w:rFonts w:ascii="Arial" w:hAnsi="Arial" w:cs="Arial"/>
          <w:sz w:val="24"/>
          <w:szCs w:val="24"/>
        </w:rPr>
        <w:t xml:space="preserve">necessary financial allocations, </w:t>
      </w:r>
      <w:r w:rsidR="00A43F64" w:rsidRPr="00097514">
        <w:rPr>
          <w:rFonts w:ascii="Arial" w:hAnsi="Arial" w:cs="Arial"/>
          <w:sz w:val="24"/>
          <w:szCs w:val="24"/>
        </w:rPr>
        <w:t>but also ensure the maturity of the projects for selection.</w:t>
      </w:r>
      <w:r w:rsidRPr="003F08CF">
        <w:rPr>
          <w:rFonts w:ascii="Arial" w:hAnsi="Arial" w:cs="Arial"/>
          <w:sz w:val="24"/>
          <w:szCs w:val="24"/>
        </w:rPr>
        <w:t xml:space="preserve"> </w:t>
      </w:r>
    </w:p>
    <w:p w:rsidR="00400DFD" w:rsidRDefault="00400DFD" w:rsidP="00400DFD">
      <w:pPr>
        <w:pStyle w:val="ListParagraph"/>
        <w:spacing w:after="0" w:line="240" w:lineRule="auto"/>
        <w:jc w:val="both"/>
        <w:rPr>
          <w:rFonts w:ascii="Arial" w:hAnsi="Arial" w:cs="Arial"/>
          <w:sz w:val="24"/>
          <w:szCs w:val="24"/>
        </w:rPr>
      </w:pPr>
    </w:p>
    <w:p w:rsidR="003F08CF" w:rsidRDefault="003F08CF" w:rsidP="003F08CF">
      <w:pPr>
        <w:pStyle w:val="ListParagraph"/>
        <w:numPr>
          <w:ilvl w:val="0"/>
          <w:numId w:val="26"/>
        </w:numPr>
        <w:spacing w:after="0" w:line="240" w:lineRule="auto"/>
        <w:jc w:val="both"/>
        <w:rPr>
          <w:rFonts w:ascii="Arial" w:hAnsi="Arial" w:cs="Arial"/>
          <w:sz w:val="24"/>
          <w:szCs w:val="24"/>
        </w:rPr>
      </w:pPr>
      <w:r w:rsidRPr="003F08CF">
        <w:rPr>
          <w:rFonts w:ascii="Arial" w:hAnsi="Arial" w:cs="Arial"/>
          <w:sz w:val="24"/>
          <w:szCs w:val="24"/>
        </w:rPr>
        <w:t xml:space="preserve">If there is an intention to implement strategic projects under a programme, an information campaign targeting relevant stakeholders (e.g. </w:t>
      </w:r>
      <w:r w:rsidR="00A43F64">
        <w:rPr>
          <w:rFonts w:ascii="Arial" w:hAnsi="Arial" w:cs="Arial"/>
          <w:sz w:val="24"/>
          <w:szCs w:val="24"/>
        </w:rPr>
        <w:t xml:space="preserve">on line </w:t>
      </w:r>
      <w:r w:rsidRPr="003F08CF">
        <w:rPr>
          <w:rFonts w:ascii="Arial" w:hAnsi="Arial" w:cs="Arial"/>
          <w:sz w:val="24"/>
          <w:szCs w:val="24"/>
        </w:rPr>
        <w:t xml:space="preserve">ministries, municipalities, public utility companies, development agencies, etc.) should be undertaken in a timely and quality manner; more specifically, they need to be familiarized in due time with the programme objectives and technical requirements (e.g. </w:t>
      </w:r>
      <w:r w:rsidR="00A43F64" w:rsidRPr="00097514">
        <w:rPr>
          <w:rFonts w:ascii="Arial" w:hAnsi="Arial" w:cs="Arial"/>
          <w:sz w:val="24"/>
          <w:szCs w:val="24"/>
        </w:rPr>
        <w:t>in case of infrastructure investment projects</w:t>
      </w:r>
      <w:r w:rsidR="00097514">
        <w:rPr>
          <w:rFonts w:ascii="Arial" w:hAnsi="Arial" w:cs="Arial"/>
          <w:sz w:val="24"/>
          <w:szCs w:val="24"/>
        </w:rPr>
        <w:t>:</w:t>
      </w:r>
      <w:r w:rsidR="00A43F64">
        <w:rPr>
          <w:rFonts w:ascii="Arial" w:hAnsi="Arial" w:cs="Arial"/>
          <w:sz w:val="24"/>
          <w:szCs w:val="24"/>
        </w:rPr>
        <w:t xml:space="preserve"> </w:t>
      </w:r>
      <w:r w:rsidRPr="003F08CF">
        <w:rPr>
          <w:rFonts w:ascii="Arial" w:hAnsi="Arial" w:cs="Arial"/>
          <w:sz w:val="24"/>
          <w:szCs w:val="24"/>
        </w:rPr>
        <w:t>complete technical documentation, including all the relevant permits necessary to ensure the feasibility of works) so that the projects would be ready for tender as soon as they are approved by the JMC</w:t>
      </w:r>
      <w:r w:rsidR="0027395B">
        <w:rPr>
          <w:rFonts w:ascii="Arial" w:hAnsi="Arial" w:cs="Arial"/>
          <w:sz w:val="24"/>
          <w:szCs w:val="24"/>
        </w:rPr>
        <w:t xml:space="preserve">, and endorsed by the </w:t>
      </w:r>
      <w:r w:rsidR="006D6F19">
        <w:rPr>
          <w:rFonts w:ascii="Arial" w:hAnsi="Arial" w:cs="Arial"/>
          <w:sz w:val="24"/>
          <w:szCs w:val="24"/>
        </w:rPr>
        <w:t>Commission</w:t>
      </w:r>
      <w:r w:rsidRPr="003F08CF">
        <w:rPr>
          <w:rFonts w:ascii="Arial" w:hAnsi="Arial" w:cs="Arial"/>
          <w:sz w:val="24"/>
          <w:szCs w:val="24"/>
        </w:rPr>
        <w:t>.</w:t>
      </w:r>
    </w:p>
    <w:p w:rsidR="00400DFD" w:rsidRPr="003F08CF" w:rsidRDefault="00400DFD" w:rsidP="00400DFD">
      <w:pPr>
        <w:pStyle w:val="ListParagraph"/>
        <w:spacing w:after="0" w:line="240" w:lineRule="auto"/>
        <w:jc w:val="both"/>
        <w:rPr>
          <w:rFonts w:ascii="Arial" w:hAnsi="Arial" w:cs="Arial"/>
          <w:sz w:val="24"/>
          <w:szCs w:val="24"/>
        </w:rPr>
      </w:pPr>
    </w:p>
    <w:p w:rsidR="003F08CF" w:rsidRDefault="003F08CF" w:rsidP="003F08CF">
      <w:pPr>
        <w:pStyle w:val="ListParagraph"/>
        <w:numPr>
          <w:ilvl w:val="0"/>
          <w:numId w:val="26"/>
        </w:numPr>
        <w:spacing w:after="0" w:line="240" w:lineRule="auto"/>
        <w:jc w:val="both"/>
        <w:rPr>
          <w:rFonts w:ascii="Arial" w:hAnsi="Arial" w:cs="Arial"/>
          <w:sz w:val="24"/>
          <w:szCs w:val="24"/>
        </w:rPr>
      </w:pPr>
      <w:r w:rsidRPr="003F08CF">
        <w:rPr>
          <w:rFonts w:ascii="Arial" w:hAnsi="Arial" w:cs="Arial"/>
          <w:sz w:val="24"/>
          <w:szCs w:val="24"/>
        </w:rPr>
        <w:lastRenderedPageBreak/>
        <w:t xml:space="preserve">All programme websites must contain information on strategic projects, in the same way that projects financed through calls for proposals are publicised, including a clear description of the project, detailing objectives, amount, period of implementation, attained results, etc. </w:t>
      </w:r>
    </w:p>
    <w:p w:rsidR="00400DFD" w:rsidRPr="00400DFD" w:rsidRDefault="00400DFD" w:rsidP="00400DFD">
      <w:pPr>
        <w:pStyle w:val="ListParagraph"/>
        <w:rPr>
          <w:rFonts w:ascii="Arial" w:hAnsi="Arial" w:cs="Arial"/>
          <w:sz w:val="24"/>
          <w:szCs w:val="24"/>
        </w:rPr>
      </w:pPr>
    </w:p>
    <w:p w:rsidR="003F08CF" w:rsidRDefault="003F08CF" w:rsidP="003F08CF">
      <w:pPr>
        <w:pStyle w:val="ListParagraph"/>
        <w:numPr>
          <w:ilvl w:val="0"/>
          <w:numId w:val="26"/>
        </w:numPr>
        <w:spacing w:after="0" w:line="240" w:lineRule="auto"/>
        <w:jc w:val="both"/>
        <w:rPr>
          <w:rFonts w:ascii="Arial" w:hAnsi="Arial" w:cs="Arial"/>
          <w:sz w:val="24"/>
          <w:szCs w:val="24"/>
        </w:rPr>
      </w:pPr>
      <w:r w:rsidRPr="003F08CF">
        <w:rPr>
          <w:rFonts w:ascii="Arial" w:hAnsi="Arial" w:cs="Arial"/>
          <w:sz w:val="24"/>
          <w:szCs w:val="24"/>
        </w:rPr>
        <w:t xml:space="preserve">The staff of the JTS should be involved in monitoring strategic projects and/or assisting the OSs in the preparation of the required documentation. </w:t>
      </w:r>
    </w:p>
    <w:p w:rsidR="00400DFD" w:rsidRPr="00400DFD" w:rsidRDefault="00400DFD" w:rsidP="00400DFD">
      <w:pPr>
        <w:pStyle w:val="ListParagraph"/>
        <w:rPr>
          <w:rFonts w:ascii="Arial" w:hAnsi="Arial" w:cs="Arial"/>
          <w:sz w:val="24"/>
          <w:szCs w:val="24"/>
        </w:rPr>
      </w:pPr>
    </w:p>
    <w:p w:rsidR="003F08CF" w:rsidRPr="00097514" w:rsidRDefault="003F08CF" w:rsidP="003F08CF">
      <w:pPr>
        <w:pStyle w:val="ListParagraph"/>
        <w:numPr>
          <w:ilvl w:val="0"/>
          <w:numId w:val="26"/>
        </w:numPr>
        <w:spacing w:after="0" w:line="240" w:lineRule="auto"/>
        <w:jc w:val="both"/>
        <w:rPr>
          <w:rFonts w:ascii="Arial" w:hAnsi="Arial" w:cs="Arial"/>
          <w:sz w:val="24"/>
          <w:szCs w:val="24"/>
        </w:rPr>
      </w:pPr>
      <w:r w:rsidRPr="003F08CF">
        <w:rPr>
          <w:rFonts w:ascii="Arial" w:hAnsi="Arial" w:cs="Arial"/>
          <w:sz w:val="24"/>
          <w:szCs w:val="24"/>
        </w:rPr>
        <w:t>The cross-border character</w:t>
      </w:r>
      <w:r w:rsidR="00984EB5">
        <w:rPr>
          <w:rFonts w:ascii="Arial" w:hAnsi="Arial" w:cs="Arial"/>
          <w:sz w:val="24"/>
          <w:szCs w:val="24"/>
        </w:rPr>
        <w:t>/dimension</w:t>
      </w:r>
      <w:r w:rsidRPr="003F08CF">
        <w:rPr>
          <w:rFonts w:ascii="Arial" w:hAnsi="Arial" w:cs="Arial"/>
          <w:sz w:val="24"/>
          <w:szCs w:val="24"/>
        </w:rPr>
        <w:t xml:space="preserve"> of these ventures should be stressed and argued in the decision of the JMC,</w:t>
      </w:r>
      <w:r w:rsidRPr="003F08CF">
        <w:rPr>
          <w:rFonts w:ascii="Arial" w:hAnsi="Arial" w:cs="Arial"/>
        </w:rPr>
        <w:t xml:space="preserve"> </w:t>
      </w:r>
      <w:r w:rsidRPr="003F08CF">
        <w:rPr>
          <w:rFonts w:ascii="Arial" w:hAnsi="Arial" w:cs="Arial"/>
          <w:sz w:val="24"/>
          <w:szCs w:val="24"/>
        </w:rPr>
        <w:t xml:space="preserve">with all members from the participating countries recognising the merit to undertake the action for the indisputable </w:t>
      </w:r>
      <w:r w:rsidRPr="00097514">
        <w:rPr>
          <w:rFonts w:ascii="Arial" w:hAnsi="Arial" w:cs="Arial"/>
          <w:sz w:val="24"/>
          <w:szCs w:val="24"/>
        </w:rPr>
        <w:t>and well-balanced benefit of the population on both sides of the eligible area.</w:t>
      </w:r>
    </w:p>
    <w:p w:rsidR="00984EB5" w:rsidRPr="00097514" w:rsidRDefault="00984EB5" w:rsidP="00984EB5">
      <w:pPr>
        <w:pStyle w:val="ListParagraph"/>
        <w:rPr>
          <w:rFonts w:ascii="Arial" w:hAnsi="Arial" w:cs="Arial"/>
          <w:sz w:val="24"/>
          <w:szCs w:val="24"/>
        </w:rPr>
      </w:pPr>
    </w:p>
    <w:p w:rsidR="00984EB5" w:rsidRPr="00097514" w:rsidRDefault="00984EB5" w:rsidP="003F08CF">
      <w:pPr>
        <w:pStyle w:val="ListParagraph"/>
        <w:numPr>
          <w:ilvl w:val="0"/>
          <w:numId w:val="26"/>
        </w:numPr>
        <w:spacing w:after="0" w:line="240" w:lineRule="auto"/>
        <w:jc w:val="both"/>
        <w:rPr>
          <w:rFonts w:ascii="Arial" w:hAnsi="Arial" w:cs="Arial"/>
          <w:sz w:val="24"/>
          <w:szCs w:val="24"/>
        </w:rPr>
      </w:pPr>
      <w:r w:rsidRPr="00097514">
        <w:rPr>
          <w:rFonts w:ascii="Arial" w:hAnsi="Arial" w:cs="Arial"/>
          <w:sz w:val="24"/>
          <w:szCs w:val="24"/>
        </w:rPr>
        <w:t>The impact from the implementation of the project and its contribution in attaining the programme objectives should be stressed.</w:t>
      </w:r>
    </w:p>
    <w:p w:rsidR="00400DFD" w:rsidRPr="00400DFD" w:rsidRDefault="00400DFD" w:rsidP="00400DFD">
      <w:pPr>
        <w:pStyle w:val="ListParagraph"/>
        <w:rPr>
          <w:rFonts w:ascii="Arial" w:hAnsi="Arial" w:cs="Arial"/>
          <w:sz w:val="24"/>
          <w:szCs w:val="24"/>
        </w:rPr>
      </w:pPr>
    </w:p>
    <w:p w:rsidR="003F08CF" w:rsidRPr="003F08CF" w:rsidRDefault="003F08CF" w:rsidP="003F08CF">
      <w:pPr>
        <w:pStyle w:val="ListParagraph"/>
        <w:numPr>
          <w:ilvl w:val="0"/>
          <w:numId w:val="26"/>
        </w:numPr>
        <w:spacing w:after="0" w:line="240" w:lineRule="auto"/>
        <w:jc w:val="both"/>
        <w:rPr>
          <w:rFonts w:ascii="Arial" w:hAnsi="Arial" w:cs="Arial"/>
          <w:sz w:val="24"/>
          <w:szCs w:val="24"/>
        </w:rPr>
      </w:pPr>
      <w:r w:rsidRPr="003F08CF">
        <w:rPr>
          <w:rFonts w:ascii="Arial" w:hAnsi="Arial" w:cs="Arial"/>
          <w:sz w:val="24"/>
          <w:szCs w:val="24"/>
        </w:rPr>
        <w:t xml:space="preserve">Procedures for identification and selection of strategic projects should be proposed. </w:t>
      </w:r>
    </w:p>
    <w:p w:rsidR="003F08CF" w:rsidRPr="003F08CF" w:rsidRDefault="003F08CF" w:rsidP="00F1172A">
      <w:pPr>
        <w:spacing w:after="0" w:line="240" w:lineRule="auto"/>
        <w:jc w:val="both"/>
        <w:rPr>
          <w:rFonts w:ascii="Arial" w:hAnsi="Arial" w:cs="Arial"/>
          <w:sz w:val="24"/>
          <w:szCs w:val="24"/>
        </w:rPr>
      </w:pPr>
    </w:p>
    <w:p w:rsidR="003C1E6C" w:rsidRDefault="003C1E6C">
      <w:pPr>
        <w:rPr>
          <w:rFonts w:ascii="Arial" w:hAnsi="Arial" w:cs="Arial"/>
          <w:sz w:val="24"/>
          <w:szCs w:val="24"/>
          <w:lang w:val="en-US"/>
        </w:rPr>
      </w:pPr>
      <w:r>
        <w:rPr>
          <w:rFonts w:ascii="Arial" w:hAnsi="Arial" w:cs="Arial"/>
          <w:sz w:val="24"/>
          <w:szCs w:val="24"/>
          <w:lang w:val="en-US"/>
        </w:rPr>
        <w:br w:type="page"/>
      </w:r>
    </w:p>
    <w:p w:rsidR="00732137" w:rsidRPr="006C4642" w:rsidRDefault="006C4642" w:rsidP="00730E4E">
      <w:pPr>
        <w:pStyle w:val="Heading1"/>
        <w:rPr>
          <w:lang w:val="en-US"/>
        </w:rPr>
      </w:pPr>
      <w:bookmarkStart w:id="7" w:name="_Toc485980986"/>
      <w:r>
        <w:rPr>
          <w:lang w:val="en-US"/>
        </w:rPr>
        <w:lastRenderedPageBreak/>
        <w:t>4.</w:t>
      </w:r>
      <w:r w:rsidR="00FD4F11">
        <w:rPr>
          <w:lang w:val="en-US"/>
        </w:rPr>
        <w:t xml:space="preserve"> </w:t>
      </w:r>
      <w:r w:rsidR="003F08CF" w:rsidRPr="006C4642">
        <w:rPr>
          <w:lang w:val="en-US"/>
        </w:rPr>
        <w:t>IDENTIFICATION AND SELECTION</w:t>
      </w:r>
      <w:bookmarkEnd w:id="7"/>
    </w:p>
    <w:p w:rsidR="00732137" w:rsidRDefault="00732137" w:rsidP="00316F9D">
      <w:pPr>
        <w:spacing w:after="0" w:line="240" w:lineRule="auto"/>
        <w:jc w:val="both"/>
        <w:rPr>
          <w:rFonts w:ascii="Arial" w:hAnsi="Arial" w:cs="Arial"/>
          <w:sz w:val="24"/>
          <w:szCs w:val="24"/>
          <w:lang w:val="en-US"/>
        </w:rPr>
      </w:pPr>
    </w:p>
    <w:p w:rsidR="003F08CF" w:rsidRDefault="003F08CF"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Against the </w:t>
      </w:r>
      <w:r w:rsidR="00A310F7">
        <w:rPr>
          <w:rFonts w:ascii="Arial" w:hAnsi="Arial" w:cs="Arial"/>
          <w:sz w:val="24"/>
          <w:szCs w:val="24"/>
          <w:lang w:val="en-US"/>
        </w:rPr>
        <w:t xml:space="preserve">foregoing </w:t>
      </w:r>
      <w:r>
        <w:rPr>
          <w:rFonts w:ascii="Arial" w:hAnsi="Arial" w:cs="Arial"/>
          <w:sz w:val="24"/>
          <w:szCs w:val="24"/>
          <w:lang w:val="en-US"/>
        </w:rPr>
        <w:t>legal background, the provisions spelled out in the programme documents and the lessons fro</w:t>
      </w:r>
      <w:r w:rsidR="00B653AD">
        <w:rPr>
          <w:rFonts w:ascii="Arial" w:hAnsi="Arial" w:cs="Arial"/>
          <w:sz w:val="24"/>
          <w:szCs w:val="24"/>
          <w:lang w:val="en-US"/>
        </w:rPr>
        <w:t>m experience under the 2007-2013 financial cycle, the programme authorities</w:t>
      </w:r>
      <w:r w:rsidR="00A310F7">
        <w:rPr>
          <w:rFonts w:ascii="Arial" w:hAnsi="Arial" w:cs="Arial"/>
          <w:sz w:val="24"/>
          <w:szCs w:val="24"/>
          <w:lang w:val="en-US"/>
        </w:rPr>
        <w:t xml:space="preserve"> —</w:t>
      </w:r>
      <w:r w:rsidR="00B653AD">
        <w:rPr>
          <w:rFonts w:ascii="Arial" w:hAnsi="Arial" w:cs="Arial"/>
          <w:sz w:val="24"/>
          <w:szCs w:val="24"/>
          <w:lang w:val="en-US"/>
        </w:rPr>
        <w:t xml:space="preserve"> </w:t>
      </w:r>
      <w:r w:rsidR="00A310F7">
        <w:rPr>
          <w:rFonts w:ascii="Arial" w:hAnsi="Arial" w:cs="Arial"/>
          <w:sz w:val="24"/>
          <w:szCs w:val="24"/>
          <w:lang w:val="en-US"/>
        </w:rPr>
        <w:t>in all cases except under one programme —</w:t>
      </w:r>
      <w:r w:rsidR="00B653AD">
        <w:rPr>
          <w:rFonts w:ascii="Arial" w:hAnsi="Arial" w:cs="Arial"/>
          <w:sz w:val="24"/>
          <w:szCs w:val="24"/>
          <w:lang w:val="en-US"/>
        </w:rPr>
        <w:t xml:space="preserve"> have planned </w:t>
      </w:r>
      <w:r w:rsidR="00400DFD">
        <w:rPr>
          <w:rFonts w:ascii="Arial" w:hAnsi="Arial" w:cs="Arial"/>
          <w:sz w:val="24"/>
          <w:szCs w:val="24"/>
          <w:lang w:val="en-US"/>
        </w:rPr>
        <w:t xml:space="preserve">the possibility </w:t>
      </w:r>
      <w:r w:rsidR="00B653AD">
        <w:rPr>
          <w:rFonts w:ascii="Arial" w:hAnsi="Arial" w:cs="Arial"/>
          <w:sz w:val="24"/>
          <w:szCs w:val="24"/>
          <w:lang w:val="en-US"/>
        </w:rPr>
        <w:t xml:space="preserve">to fund </w:t>
      </w:r>
      <w:r w:rsidR="00A310F7">
        <w:rPr>
          <w:rFonts w:ascii="Arial" w:hAnsi="Arial" w:cs="Arial"/>
          <w:sz w:val="24"/>
          <w:szCs w:val="24"/>
          <w:lang w:val="en-US"/>
        </w:rPr>
        <w:t>strategic projects. The identification o</w:t>
      </w:r>
      <w:r w:rsidR="0043347C">
        <w:rPr>
          <w:rFonts w:ascii="Arial" w:hAnsi="Arial" w:cs="Arial"/>
          <w:sz w:val="24"/>
          <w:szCs w:val="24"/>
          <w:lang w:val="en-US"/>
        </w:rPr>
        <w:t xml:space="preserve">f </w:t>
      </w:r>
      <w:r w:rsidR="00A757AD">
        <w:rPr>
          <w:rFonts w:ascii="Arial" w:hAnsi="Arial" w:cs="Arial"/>
          <w:sz w:val="24"/>
          <w:szCs w:val="24"/>
          <w:lang w:val="en-US"/>
        </w:rPr>
        <w:t>these projects will follow two</w:t>
      </w:r>
      <w:r w:rsidR="00A310F7">
        <w:rPr>
          <w:rFonts w:ascii="Arial" w:hAnsi="Arial" w:cs="Arial"/>
          <w:sz w:val="24"/>
          <w:szCs w:val="24"/>
          <w:lang w:val="en-US"/>
        </w:rPr>
        <w:t xml:space="preserve"> different</w:t>
      </w:r>
      <w:r w:rsidR="00B56399">
        <w:rPr>
          <w:rFonts w:ascii="Arial" w:hAnsi="Arial" w:cs="Arial"/>
          <w:sz w:val="24"/>
          <w:szCs w:val="24"/>
          <w:lang w:val="en-US"/>
        </w:rPr>
        <w:t>, transparent</w:t>
      </w:r>
      <w:r w:rsidR="00A310F7">
        <w:rPr>
          <w:rFonts w:ascii="Arial" w:hAnsi="Arial" w:cs="Arial"/>
          <w:sz w:val="24"/>
          <w:szCs w:val="24"/>
          <w:lang w:val="en-US"/>
        </w:rPr>
        <w:t xml:space="preserve"> paths, namely: </w:t>
      </w:r>
    </w:p>
    <w:p w:rsidR="00B653AD" w:rsidRDefault="00B653AD" w:rsidP="00316F9D">
      <w:pPr>
        <w:spacing w:after="0" w:line="240" w:lineRule="auto"/>
        <w:jc w:val="both"/>
        <w:rPr>
          <w:rFonts w:ascii="Arial" w:hAnsi="Arial" w:cs="Arial"/>
          <w:sz w:val="24"/>
          <w:szCs w:val="24"/>
          <w:lang w:val="en-US"/>
        </w:rPr>
      </w:pPr>
    </w:p>
    <w:p w:rsidR="001C6F55" w:rsidRPr="00097514" w:rsidRDefault="00A310F7" w:rsidP="00A310F7">
      <w:pPr>
        <w:pStyle w:val="ListParagraph"/>
        <w:numPr>
          <w:ilvl w:val="0"/>
          <w:numId w:val="28"/>
        </w:numPr>
        <w:spacing w:after="0" w:line="240" w:lineRule="auto"/>
        <w:jc w:val="both"/>
        <w:rPr>
          <w:rFonts w:ascii="Arial" w:hAnsi="Arial" w:cs="Arial"/>
          <w:sz w:val="24"/>
          <w:szCs w:val="24"/>
          <w:lang w:val="en-US"/>
        </w:rPr>
      </w:pPr>
      <w:r>
        <w:rPr>
          <w:rFonts w:ascii="Arial" w:hAnsi="Arial" w:cs="Arial"/>
          <w:sz w:val="24"/>
          <w:szCs w:val="24"/>
          <w:lang w:val="en-US"/>
        </w:rPr>
        <w:t>The launch of specially tailored or targeted calls</w:t>
      </w:r>
      <w:r w:rsidR="00730E4E" w:rsidRPr="00097514">
        <w:rPr>
          <w:rFonts w:ascii="Arial" w:hAnsi="Arial" w:cs="Arial"/>
          <w:sz w:val="24"/>
          <w:szCs w:val="24"/>
          <w:lang w:val="en-US"/>
        </w:rPr>
        <w:t>, which</w:t>
      </w:r>
      <w:r w:rsidR="001C6F55" w:rsidRPr="00097514">
        <w:rPr>
          <w:rFonts w:ascii="Arial" w:hAnsi="Arial" w:cs="Arial"/>
          <w:sz w:val="24"/>
          <w:szCs w:val="24"/>
          <w:lang w:val="en-US"/>
        </w:rPr>
        <w:t xml:space="preserve"> could aim at </w:t>
      </w:r>
      <w:r w:rsidR="00730E4E" w:rsidRPr="00097514">
        <w:rPr>
          <w:rFonts w:ascii="Arial" w:hAnsi="Arial" w:cs="Arial"/>
          <w:sz w:val="24"/>
          <w:szCs w:val="24"/>
          <w:lang w:val="en-US"/>
        </w:rPr>
        <w:t>either</w:t>
      </w:r>
      <w:r w:rsidR="001922D6" w:rsidRPr="00097514">
        <w:rPr>
          <w:rFonts w:ascii="Arial" w:hAnsi="Arial" w:cs="Arial"/>
          <w:sz w:val="24"/>
          <w:szCs w:val="24"/>
          <w:lang w:val="en-US"/>
        </w:rPr>
        <w:t>:</w:t>
      </w:r>
      <w:r w:rsidR="001C6F55" w:rsidRPr="00097514">
        <w:rPr>
          <w:rFonts w:ascii="Arial" w:hAnsi="Arial" w:cs="Arial"/>
          <w:sz w:val="24"/>
          <w:szCs w:val="24"/>
          <w:lang w:val="en-US"/>
        </w:rPr>
        <w:t xml:space="preserve"> </w:t>
      </w:r>
    </w:p>
    <w:p w:rsidR="001C6F55" w:rsidRDefault="001C6F55" w:rsidP="001C6F55">
      <w:pPr>
        <w:pStyle w:val="ListParagraph"/>
        <w:spacing w:after="0" w:line="240" w:lineRule="auto"/>
        <w:jc w:val="both"/>
        <w:rPr>
          <w:rFonts w:ascii="Arial" w:hAnsi="Arial" w:cs="Arial"/>
          <w:sz w:val="24"/>
          <w:szCs w:val="24"/>
          <w:lang w:val="en-US"/>
        </w:rPr>
      </w:pPr>
    </w:p>
    <w:p w:rsidR="001C6F55" w:rsidRDefault="001C6F55" w:rsidP="001C6F55">
      <w:pPr>
        <w:pStyle w:val="ListParagraph"/>
        <w:numPr>
          <w:ilvl w:val="0"/>
          <w:numId w:val="29"/>
        </w:numPr>
        <w:spacing w:after="0" w:line="240" w:lineRule="auto"/>
        <w:jc w:val="both"/>
        <w:rPr>
          <w:rFonts w:ascii="Arial" w:hAnsi="Arial" w:cs="Arial"/>
          <w:sz w:val="24"/>
          <w:szCs w:val="24"/>
          <w:lang w:val="en-US"/>
        </w:rPr>
      </w:pPr>
      <w:r w:rsidRPr="00097514">
        <w:rPr>
          <w:rFonts w:ascii="Arial" w:hAnsi="Arial" w:cs="Arial"/>
          <w:sz w:val="24"/>
          <w:szCs w:val="24"/>
          <w:lang w:val="en-US"/>
        </w:rPr>
        <w:t xml:space="preserve">The selection of </w:t>
      </w:r>
      <w:r w:rsidR="004B6FCD" w:rsidRPr="00097514">
        <w:rPr>
          <w:rFonts w:ascii="Arial" w:hAnsi="Arial" w:cs="Arial"/>
          <w:sz w:val="24"/>
          <w:szCs w:val="24"/>
          <w:lang w:val="en-US"/>
        </w:rPr>
        <w:t xml:space="preserve">mature </w:t>
      </w:r>
      <w:r w:rsidRPr="00097514">
        <w:rPr>
          <w:rFonts w:ascii="Arial" w:hAnsi="Arial" w:cs="Arial"/>
          <w:sz w:val="24"/>
          <w:szCs w:val="24"/>
          <w:lang w:val="en-US"/>
        </w:rPr>
        <w:t>operations</w:t>
      </w:r>
      <w:r w:rsidR="004B6FCD" w:rsidRPr="00097514">
        <w:rPr>
          <w:rFonts w:ascii="Arial" w:hAnsi="Arial" w:cs="Arial"/>
          <w:sz w:val="24"/>
          <w:szCs w:val="24"/>
          <w:lang w:val="en-US"/>
        </w:rPr>
        <w:t>, or operations</w:t>
      </w:r>
      <w:r w:rsidRPr="00097514">
        <w:rPr>
          <w:rFonts w:ascii="Arial" w:hAnsi="Arial" w:cs="Arial"/>
          <w:sz w:val="24"/>
          <w:szCs w:val="24"/>
          <w:lang w:val="en-US"/>
        </w:rPr>
        <w:t xml:space="preserve"> to develop and/or complete the project</w:t>
      </w:r>
      <w:r>
        <w:rPr>
          <w:rFonts w:ascii="Arial" w:hAnsi="Arial" w:cs="Arial"/>
          <w:sz w:val="24"/>
          <w:szCs w:val="24"/>
          <w:lang w:val="en-US"/>
        </w:rPr>
        <w:t xml:space="preserve"> documentation that would result in the preparation of a strategic project;</w:t>
      </w:r>
      <w:r w:rsidR="00EF063F">
        <w:rPr>
          <w:rFonts w:ascii="Arial" w:hAnsi="Arial" w:cs="Arial"/>
          <w:sz w:val="24"/>
          <w:szCs w:val="24"/>
          <w:lang w:val="en-US"/>
        </w:rPr>
        <w:t xml:space="preserve"> or</w:t>
      </w:r>
    </w:p>
    <w:p w:rsidR="001C6F55" w:rsidRDefault="001C6F55" w:rsidP="001C6F55">
      <w:pPr>
        <w:pStyle w:val="ListParagraph"/>
        <w:spacing w:after="0" w:line="240" w:lineRule="auto"/>
        <w:ind w:left="2160"/>
        <w:jc w:val="both"/>
        <w:rPr>
          <w:rFonts w:ascii="Arial" w:hAnsi="Arial" w:cs="Arial"/>
          <w:sz w:val="24"/>
          <w:szCs w:val="24"/>
          <w:lang w:val="en-US"/>
        </w:rPr>
      </w:pPr>
    </w:p>
    <w:p w:rsidR="001C6F55" w:rsidRPr="001C6F55" w:rsidRDefault="001C6F55" w:rsidP="001C6F55">
      <w:pPr>
        <w:pStyle w:val="ListParagraph"/>
        <w:numPr>
          <w:ilvl w:val="0"/>
          <w:numId w:val="29"/>
        </w:numPr>
        <w:spacing w:after="0" w:line="240" w:lineRule="auto"/>
        <w:jc w:val="both"/>
        <w:rPr>
          <w:rFonts w:ascii="Arial" w:hAnsi="Arial" w:cs="Arial"/>
          <w:sz w:val="24"/>
          <w:szCs w:val="24"/>
          <w:lang w:val="en-US"/>
        </w:rPr>
      </w:pPr>
      <w:r>
        <w:rPr>
          <w:rFonts w:ascii="Arial" w:hAnsi="Arial" w:cs="Arial"/>
          <w:sz w:val="24"/>
          <w:szCs w:val="24"/>
          <w:lang w:val="en-US"/>
        </w:rPr>
        <w:t>The selection of operations to fund one or more strategic projects.</w:t>
      </w:r>
    </w:p>
    <w:p w:rsidR="001C6F55" w:rsidRPr="001C6F55" w:rsidRDefault="001C6F55" w:rsidP="001C6F55">
      <w:pPr>
        <w:spacing w:after="0" w:line="240" w:lineRule="auto"/>
        <w:jc w:val="both"/>
        <w:rPr>
          <w:rFonts w:ascii="Arial" w:hAnsi="Arial" w:cs="Arial"/>
          <w:sz w:val="24"/>
          <w:szCs w:val="24"/>
          <w:lang w:val="en-US"/>
        </w:rPr>
      </w:pPr>
    </w:p>
    <w:p w:rsidR="00CA5E32" w:rsidRPr="00097514" w:rsidRDefault="0043347C" w:rsidP="00CA5E32">
      <w:pPr>
        <w:pStyle w:val="ListParagraph"/>
        <w:numPr>
          <w:ilvl w:val="0"/>
          <w:numId w:val="28"/>
        </w:numPr>
        <w:spacing w:before="120" w:after="120" w:line="240" w:lineRule="auto"/>
        <w:jc w:val="both"/>
        <w:rPr>
          <w:rFonts w:ascii="Arial" w:hAnsi="Arial" w:cs="Arial"/>
          <w:sz w:val="24"/>
          <w:szCs w:val="24"/>
          <w:lang w:val="en-US"/>
        </w:rPr>
      </w:pPr>
      <w:r>
        <w:rPr>
          <w:rFonts w:ascii="Arial" w:hAnsi="Arial" w:cs="Arial"/>
          <w:sz w:val="24"/>
          <w:szCs w:val="24"/>
          <w:lang w:val="en-US"/>
        </w:rPr>
        <w:t>Upon initiative of a line Ministry or a regional or local authority, but in the latter case with the support of a line Ministry, t</w:t>
      </w:r>
      <w:r w:rsidR="006B49D3">
        <w:rPr>
          <w:rFonts w:ascii="Arial" w:hAnsi="Arial" w:cs="Arial"/>
          <w:sz w:val="24"/>
          <w:szCs w:val="24"/>
          <w:lang w:val="en-US"/>
        </w:rPr>
        <w:t>he adoption of a decision for funding outside a call for proposals, approved by the JMC of the programme and endorsed by the relevant c</w:t>
      </w:r>
      <w:r w:rsidR="00730E4E">
        <w:rPr>
          <w:rFonts w:ascii="Arial" w:hAnsi="Arial" w:cs="Arial"/>
          <w:sz w:val="24"/>
          <w:szCs w:val="24"/>
          <w:lang w:val="en-US"/>
        </w:rPr>
        <w:t>ontracting authority, and the Commission</w:t>
      </w:r>
      <w:r w:rsidR="006B49D3">
        <w:rPr>
          <w:rFonts w:ascii="Arial" w:hAnsi="Arial" w:cs="Arial"/>
          <w:sz w:val="24"/>
          <w:szCs w:val="24"/>
          <w:lang w:val="en-US"/>
        </w:rPr>
        <w:t xml:space="preserve">, when the </w:t>
      </w:r>
      <w:r w:rsidR="006B49D3" w:rsidRPr="00097514">
        <w:rPr>
          <w:rFonts w:ascii="Arial" w:hAnsi="Arial" w:cs="Arial"/>
          <w:sz w:val="24"/>
          <w:szCs w:val="24"/>
          <w:lang w:val="en-US"/>
        </w:rPr>
        <w:t xml:space="preserve">latter is not the contracting authority. </w:t>
      </w:r>
    </w:p>
    <w:p w:rsidR="00A310F7" w:rsidRPr="00A310F7" w:rsidRDefault="00A310F7" w:rsidP="00CA5E32">
      <w:pPr>
        <w:pStyle w:val="ListParagraph"/>
        <w:spacing w:after="0" w:line="240" w:lineRule="auto"/>
        <w:jc w:val="both"/>
        <w:rPr>
          <w:rFonts w:ascii="Arial" w:hAnsi="Arial" w:cs="Arial"/>
          <w:sz w:val="24"/>
          <w:szCs w:val="24"/>
          <w:lang w:val="en-US"/>
        </w:rPr>
      </w:pPr>
    </w:p>
    <w:p w:rsidR="00732137" w:rsidRDefault="00730E4E" w:rsidP="00316F9D">
      <w:pPr>
        <w:spacing w:after="0" w:line="240" w:lineRule="auto"/>
        <w:jc w:val="both"/>
        <w:rPr>
          <w:rFonts w:ascii="Arial" w:hAnsi="Arial" w:cs="Arial"/>
          <w:sz w:val="24"/>
          <w:szCs w:val="24"/>
          <w:lang w:val="en-US"/>
        </w:rPr>
      </w:pPr>
      <w:r>
        <w:rPr>
          <w:rFonts w:ascii="Arial" w:hAnsi="Arial" w:cs="Arial"/>
          <w:sz w:val="24"/>
          <w:szCs w:val="24"/>
          <w:lang w:val="en-US"/>
        </w:rPr>
        <w:t>D</w:t>
      </w:r>
      <w:r w:rsidR="006B49D3">
        <w:rPr>
          <w:rFonts w:ascii="Arial" w:hAnsi="Arial" w:cs="Arial"/>
          <w:sz w:val="24"/>
          <w:szCs w:val="24"/>
          <w:lang w:val="en-US"/>
        </w:rPr>
        <w:t xml:space="preserve">epending on the method used to identify strategic projects, </w:t>
      </w:r>
      <w:r>
        <w:rPr>
          <w:rFonts w:ascii="Arial" w:hAnsi="Arial" w:cs="Arial"/>
          <w:sz w:val="24"/>
          <w:szCs w:val="24"/>
          <w:lang w:val="en-US"/>
        </w:rPr>
        <w:t xml:space="preserve">the tables below summarise </w:t>
      </w:r>
      <w:r w:rsidR="006B49D3">
        <w:rPr>
          <w:rFonts w:ascii="Arial" w:hAnsi="Arial" w:cs="Arial"/>
          <w:sz w:val="24"/>
          <w:szCs w:val="24"/>
          <w:lang w:val="en-US"/>
        </w:rPr>
        <w:t>the steps to be taken and</w:t>
      </w:r>
      <w:r>
        <w:rPr>
          <w:rFonts w:ascii="Arial" w:hAnsi="Arial" w:cs="Arial"/>
          <w:sz w:val="24"/>
          <w:szCs w:val="24"/>
          <w:lang w:val="en-US"/>
        </w:rPr>
        <w:t xml:space="preserve"> the responsible stakeholder undertaking</w:t>
      </w:r>
      <w:r w:rsidR="006B49D3">
        <w:rPr>
          <w:rFonts w:ascii="Arial" w:hAnsi="Arial" w:cs="Arial"/>
          <w:sz w:val="24"/>
          <w:szCs w:val="24"/>
          <w:lang w:val="en-US"/>
        </w:rPr>
        <w:t xml:space="preserve"> them. </w:t>
      </w:r>
    </w:p>
    <w:p w:rsidR="00EF063F" w:rsidRDefault="00EF063F" w:rsidP="00316F9D">
      <w:pPr>
        <w:spacing w:after="0" w:line="240" w:lineRule="auto"/>
        <w:jc w:val="both"/>
        <w:rPr>
          <w:rFonts w:ascii="Arial" w:hAnsi="Arial" w:cs="Arial"/>
          <w:sz w:val="24"/>
          <w:szCs w:val="24"/>
          <w:lang w:val="en-US"/>
        </w:rPr>
      </w:pPr>
    </w:p>
    <w:tbl>
      <w:tblPr>
        <w:tblStyle w:val="TableGrid"/>
        <w:tblW w:w="0" w:type="auto"/>
        <w:tblLook w:val="04A0"/>
      </w:tblPr>
      <w:tblGrid>
        <w:gridCol w:w="4621"/>
        <w:gridCol w:w="4621"/>
      </w:tblGrid>
      <w:tr w:rsidR="006B49D3" w:rsidTr="0056578E">
        <w:trPr>
          <w:tblHeader/>
        </w:trPr>
        <w:tc>
          <w:tcPr>
            <w:tcW w:w="9242" w:type="dxa"/>
            <w:gridSpan w:val="2"/>
            <w:shd w:val="clear" w:color="auto" w:fill="1F497D" w:themeFill="text2"/>
          </w:tcPr>
          <w:p w:rsidR="006B49D3" w:rsidRPr="009A66B6" w:rsidRDefault="006B49D3"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Specially tailored or targeted calls</w:t>
            </w:r>
          </w:p>
        </w:tc>
      </w:tr>
      <w:tr w:rsidR="006B49D3" w:rsidRPr="00EF063F" w:rsidTr="0056578E">
        <w:trPr>
          <w:tblHeader/>
        </w:trPr>
        <w:tc>
          <w:tcPr>
            <w:tcW w:w="4621" w:type="dxa"/>
            <w:shd w:val="clear" w:color="auto" w:fill="C6D9F1" w:themeFill="text2" w:themeFillTint="33"/>
          </w:tcPr>
          <w:p w:rsidR="006B49D3" w:rsidRPr="009A66B6" w:rsidRDefault="006B49D3" w:rsidP="009A66B6">
            <w:pPr>
              <w:jc w:val="center"/>
              <w:rPr>
                <w:rFonts w:ascii="Arial" w:hAnsi="Arial" w:cs="Arial"/>
                <w:b/>
                <w:i/>
                <w:sz w:val="24"/>
                <w:szCs w:val="24"/>
                <w:lang w:val="en-US"/>
              </w:rPr>
            </w:pPr>
            <w:r w:rsidRPr="009A66B6">
              <w:rPr>
                <w:rFonts w:ascii="Arial" w:hAnsi="Arial" w:cs="Arial"/>
                <w:b/>
                <w:i/>
                <w:sz w:val="24"/>
                <w:szCs w:val="24"/>
                <w:lang w:val="en-US"/>
              </w:rPr>
              <w:t>Steps</w:t>
            </w:r>
          </w:p>
        </w:tc>
        <w:tc>
          <w:tcPr>
            <w:tcW w:w="4621" w:type="dxa"/>
            <w:shd w:val="clear" w:color="auto" w:fill="C6D9F1" w:themeFill="text2" w:themeFillTint="33"/>
          </w:tcPr>
          <w:p w:rsidR="006B49D3" w:rsidRPr="009A66B6" w:rsidRDefault="00EF063F" w:rsidP="009A66B6">
            <w:pPr>
              <w:jc w:val="center"/>
              <w:rPr>
                <w:rFonts w:ascii="Arial" w:hAnsi="Arial" w:cs="Arial"/>
                <w:b/>
                <w:i/>
                <w:sz w:val="24"/>
                <w:szCs w:val="24"/>
                <w:lang w:val="en-US"/>
              </w:rPr>
            </w:pPr>
            <w:r w:rsidRPr="009A66B6">
              <w:rPr>
                <w:rFonts w:ascii="Arial" w:hAnsi="Arial" w:cs="Arial"/>
                <w:b/>
                <w:i/>
                <w:sz w:val="24"/>
                <w:szCs w:val="24"/>
                <w:lang w:val="en-US"/>
              </w:rPr>
              <w:t>Stakeholders’ involvement</w:t>
            </w:r>
          </w:p>
        </w:tc>
      </w:tr>
      <w:tr w:rsidR="007C00EC" w:rsidTr="006B49D3">
        <w:tc>
          <w:tcPr>
            <w:tcW w:w="4621" w:type="dxa"/>
          </w:tcPr>
          <w:p w:rsidR="007C00EC" w:rsidRPr="009F6C17" w:rsidRDefault="007C00EC" w:rsidP="00EF063F">
            <w:pPr>
              <w:pStyle w:val="ListParagraph"/>
              <w:numPr>
                <w:ilvl w:val="0"/>
                <w:numId w:val="31"/>
              </w:numPr>
              <w:jc w:val="both"/>
              <w:rPr>
                <w:rFonts w:ascii="Arial" w:hAnsi="Arial" w:cs="Arial"/>
                <w:sz w:val="24"/>
                <w:szCs w:val="24"/>
                <w:lang w:val="en-US"/>
              </w:rPr>
            </w:pPr>
            <w:r w:rsidRPr="009F6C17">
              <w:rPr>
                <w:rFonts w:ascii="Arial" w:eastAsia="Times New Roman" w:hAnsi="Arial" w:cs="Arial"/>
                <w:sz w:val="24"/>
                <w:szCs w:val="24"/>
                <w:lang w:eastAsia="de-DE"/>
              </w:rPr>
              <w:t>Identification and confirmation of the strategic approach</w:t>
            </w:r>
          </w:p>
        </w:tc>
        <w:tc>
          <w:tcPr>
            <w:tcW w:w="4621" w:type="dxa"/>
          </w:tcPr>
          <w:p w:rsidR="007C00EC" w:rsidRPr="009F6C17" w:rsidRDefault="007C00EC" w:rsidP="009E637C">
            <w:pPr>
              <w:jc w:val="both"/>
              <w:rPr>
                <w:rFonts w:ascii="Arial" w:hAnsi="Arial" w:cs="Arial"/>
                <w:sz w:val="24"/>
                <w:szCs w:val="24"/>
                <w:lang w:val="en-US"/>
              </w:rPr>
            </w:pPr>
            <w:r w:rsidRPr="009F6C17">
              <w:rPr>
                <w:rFonts w:ascii="Arial" w:hAnsi="Arial" w:cs="Arial"/>
                <w:sz w:val="24"/>
                <w:szCs w:val="24"/>
                <w:lang w:val="en-US"/>
              </w:rPr>
              <w:t xml:space="preserve">The OSs, </w:t>
            </w:r>
            <w:r w:rsidR="009F6C17" w:rsidRPr="009F6C17">
              <w:rPr>
                <w:rFonts w:ascii="Arial" w:hAnsi="Arial" w:cs="Arial"/>
                <w:sz w:val="24"/>
                <w:szCs w:val="24"/>
                <w:lang w:val="en-US"/>
              </w:rPr>
              <w:t xml:space="preserve">along with </w:t>
            </w:r>
            <w:r w:rsidRPr="009F6C17">
              <w:rPr>
                <w:rFonts w:ascii="Arial" w:hAnsi="Arial" w:cs="Arial"/>
                <w:sz w:val="24"/>
                <w:szCs w:val="24"/>
                <w:lang w:val="en-US"/>
              </w:rPr>
              <w:t>the JMC</w:t>
            </w:r>
          </w:p>
        </w:tc>
      </w:tr>
      <w:tr w:rsidR="00EF063F" w:rsidTr="006B49D3">
        <w:tc>
          <w:tcPr>
            <w:tcW w:w="4621" w:type="dxa"/>
          </w:tcPr>
          <w:p w:rsidR="00EF063F" w:rsidRPr="00EF063F" w:rsidRDefault="00EF063F" w:rsidP="00EF063F">
            <w:pPr>
              <w:pStyle w:val="ListParagraph"/>
              <w:numPr>
                <w:ilvl w:val="0"/>
                <w:numId w:val="31"/>
              </w:numPr>
              <w:jc w:val="both"/>
              <w:rPr>
                <w:rFonts w:ascii="Arial" w:hAnsi="Arial" w:cs="Arial"/>
                <w:sz w:val="24"/>
                <w:szCs w:val="24"/>
                <w:lang w:val="en-US"/>
              </w:rPr>
            </w:pPr>
            <w:r>
              <w:rPr>
                <w:rFonts w:ascii="Arial" w:hAnsi="Arial" w:cs="Arial"/>
                <w:sz w:val="24"/>
                <w:szCs w:val="24"/>
                <w:lang w:val="en-US"/>
              </w:rPr>
              <w:t xml:space="preserve">Proposal of </w:t>
            </w:r>
            <w:r>
              <w:rPr>
                <w:rFonts w:ascii="Arial" w:hAnsi="Arial" w:cs="Arial"/>
                <w:sz w:val="24"/>
                <w:szCs w:val="24"/>
              </w:rPr>
              <w:t>the thematic priorities, specific objectives, target beneficiaries and specific focus of the call for proposals</w:t>
            </w:r>
          </w:p>
        </w:tc>
        <w:tc>
          <w:tcPr>
            <w:tcW w:w="4621" w:type="dxa"/>
          </w:tcPr>
          <w:p w:rsidR="00EF063F" w:rsidRDefault="009E637C" w:rsidP="009E637C">
            <w:pPr>
              <w:jc w:val="both"/>
              <w:rPr>
                <w:rFonts w:ascii="Arial" w:hAnsi="Arial" w:cs="Arial"/>
                <w:sz w:val="24"/>
                <w:szCs w:val="24"/>
                <w:lang w:val="en-US"/>
              </w:rPr>
            </w:pPr>
            <w:r>
              <w:rPr>
                <w:rFonts w:ascii="Arial" w:hAnsi="Arial" w:cs="Arial"/>
                <w:sz w:val="24"/>
                <w:szCs w:val="24"/>
                <w:lang w:val="en-US"/>
              </w:rPr>
              <w:t xml:space="preserve">The OSs, assisted by the </w:t>
            </w:r>
            <w:r w:rsidR="00EF063F">
              <w:rPr>
                <w:rFonts w:ascii="Arial" w:hAnsi="Arial" w:cs="Arial"/>
                <w:sz w:val="24"/>
                <w:szCs w:val="24"/>
                <w:lang w:val="en-US"/>
              </w:rPr>
              <w:t>JTS</w:t>
            </w:r>
          </w:p>
        </w:tc>
      </w:tr>
      <w:tr w:rsidR="00EF063F" w:rsidTr="006B49D3">
        <w:tc>
          <w:tcPr>
            <w:tcW w:w="4621" w:type="dxa"/>
          </w:tcPr>
          <w:p w:rsidR="00EF063F" w:rsidRPr="001644FA" w:rsidRDefault="00EF063F" w:rsidP="00A10833">
            <w:pPr>
              <w:pStyle w:val="ListParagraph"/>
              <w:numPr>
                <w:ilvl w:val="0"/>
                <w:numId w:val="31"/>
              </w:numPr>
              <w:jc w:val="both"/>
              <w:rPr>
                <w:rFonts w:ascii="Arial" w:hAnsi="Arial" w:cs="Arial"/>
                <w:sz w:val="24"/>
                <w:szCs w:val="24"/>
                <w:lang w:val="en-US"/>
              </w:rPr>
            </w:pPr>
            <w:r>
              <w:rPr>
                <w:rFonts w:ascii="Arial" w:hAnsi="Arial" w:cs="Arial"/>
                <w:sz w:val="24"/>
                <w:szCs w:val="24"/>
                <w:lang w:val="en-US"/>
              </w:rPr>
              <w:t>Informal consultation/discussion on the proposal</w:t>
            </w:r>
          </w:p>
        </w:tc>
        <w:tc>
          <w:tcPr>
            <w:tcW w:w="4621" w:type="dxa"/>
          </w:tcPr>
          <w:p w:rsidR="00EF063F" w:rsidRDefault="00EF063F" w:rsidP="00A10833">
            <w:pPr>
              <w:jc w:val="both"/>
              <w:rPr>
                <w:rFonts w:ascii="Arial" w:hAnsi="Arial" w:cs="Arial"/>
                <w:sz w:val="24"/>
                <w:szCs w:val="24"/>
                <w:lang w:val="en-US"/>
              </w:rPr>
            </w:pPr>
            <w:r>
              <w:rPr>
                <w:rFonts w:ascii="Arial" w:hAnsi="Arial" w:cs="Arial"/>
                <w:sz w:val="24"/>
                <w:szCs w:val="24"/>
                <w:lang w:val="en-US"/>
              </w:rPr>
              <w:t>OSs and the contracting authorit</w:t>
            </w:r>
            <w:r w:rsidR="009F6C17">
              <w:rPr>
                <w:rFonts w:ascii="Arial" w:hAnsi="Arial" w:cs="Arial"/>
                <w:sz w:val="24"/>
                <w:szCs w:val="24"/>
                <w:lang w:val="en-US"/>
              </w:rPr>
              <w:t>y (when the latter is not the Commission</w:t>
            </w:r>
            <w:r>
              <w:rPr>
                <w:rFonts w:ascii="Arial" w:hAnsi="Arial" w:cs="Arial"/>
                <w:sz w:val="24"/>
                <w:szCs w:val="24"/>
                <w:lang w:val="en-US"/>
              </w:rPr>
              <w:t>, the relevant DEU must be</w:t>
            </w:r>
            <w:r w:rsidR="00400DFD">
              <w:rPr>
                <w:rFonts w:ascii="Arial" w:hAnsi="Arial" w:cs="Arial"/>
                <w:sz w:val="24"/>
                <w:szCs w:val="24"/>
                <w:lang w:val="en-US"/>
              </w:rPr>
              <w:t xml:space="preserve"> also</w:t>
            </w:r>
            <w:r>
              <w:rPr>
                <w:rFonts w:ascii="Arial" w:hAnsi="Arial" w:cs="Arial"/>
                <w:sz w:val="24"/>
                <w:szCs w:val="24"/>
                <w:lang w:val="en-US"/>
              </w:rPr>
              <w:t xml:space="preserve"> consulted) </w:t>
            </w:r>
          </w:p>
        </w:tc>
      </w:tr>
      <w:tr w:rsidR="00EF063F" w:rsidTr="006B49D3">
        <w:tc>
          <w:tcPr>
            <w:tcW w:w="4621" w:type="dxa"/>
          </w:tcPr>
          <w:p w:rsidR="00EF063F" w:rsidRPr="001644FA" w:rsidRDefault="00EF063F" w:rsidP="00A10833">
            <w:pPr>
              <w:pStyle w:val="ListParagraph"/>
              <w:numPr>
                <w:ilvl w:val="0"/>
                <w:numId w:val="31"/>
              </w:numPr>
              <w:jc w:val="both"/>
              <w:rPr>
                <w:rFonts w:ascii="Arial" w:hAnsi="Arial" w:cs="Arial"/>
                <w:sz w:val="24"/>
                <w:szCs w:val="24"/>
              </w:rPr>
            </w:pPr>
            <w:r>
              <w:rPr>
                <w:rFonts w:ascii="Arial" w:hAnsi="Arial" w:cs="Arial"/>
                <w:sz w:val="24"/>
                <w:szCs w:val="24"/>
              </w:rPr>
              <w:t>Approval of the thematic priorities, specific objectives, target beneficiaries and specific focus of the call for proposals</w:t>
            </w:r>
          </w:p>
        </w:tc>
        <w:tc>
          <w:tcPr>
            <w:tcW w:w="4621" w:type="dxa"/>
          </w:tcPr>
          <w:p w:rsidR="00EF063F" w:rsidRDefault="00EF063F" w:rsidP="00A10833">
            <w:pPr>
              <w:jc w:val="both"/>
              <w:rPr>
                <w:rFonts w:ascii="Arial" w:hAnsi="Arial" w:cs="Arial"/>
                <w:sz w:val="24"/>
                <w:szCs w:val="24"/>
                <w:lang w:val="en-US"/>
              </w:rPr>
            </w:pPr>
            <w:r>
              <w:rPr>
                <w:rFonts w:ascii="Arial" w:hAnsi="Arial" w:cs="Arial"/>
                <w:sz w:val="24"/>
                <w:szCs w:val="24"/>
                <w:lang w:val="en-US"/>
              </w:rPr>
              <w:t xml:space="preserve">JMC decision </w:t>
            </w:r>
          </w:p>
        </w:tc>
      </w:tr>
      <w:tr w:rsidR="00EF063F" w:rsidTr="006B49D3">
        <w:tc>
          <w:tcPr>
            <w:tcW w:w="4621" w:type="dxa"/>
          </w:tcPr>
          <w:p w:rsidR="00EF063F" w:rsidRPr="00EF063F" w:rsidRDefault="00EF063F" w:rsidP="00EF063F">
            <w:pPr>
              <w:pStyle w:val="ListParagraph"/>
              <w:numPr>
                <w:ilvl w:val="0"/>
                <w:numId w:val="31"/>
              </w:numPr>
              <w:jc w:val="both"/>
              <w:rPr>
                <w:rFonts w:ascii="Arial" w:hAnsi="Arial" w:cs="Arial"/>
                <w:sz w:val="24"/>
                <w:szCs w:val="24"/>
                <w:lang w:val="en-US"/>
              </w:rPr>
            </w:pPr>
            <w:r w:rsidRPr="00EF063F">
              <w:rPr>
                <w:rFonts w:ascii="Arial" w:hAnsi="Arial" w:cs="Arial"/>
                <w:sz w:val="24"/>
                <w:szCs w:val="24"/>
                <w:lang w:val="en-US"/>
              </w:rPr>
              <w:t>Proposal of an application package</w:t>
            </w:r>
          </w:p>
        </w:tc>
        <w:tc>
          <w:tcPr>
            <w:tcW w:w="4621" w:type="dxa"/>
          </w:tcPr>
          <w:p w:rsidR="00EF063F" w:rsidRDefault="009E637C" w:rsidP="00EF063F">
            <w:pPr>
              <w:jc w:val="both"/>
              <w:rPr>
                <w:rFonts w:ascii="Arial" w:hAnsi="Arial" w:cs="Arial"/>
                <w:sz w:val="24"/>
                <w:szCs w:val="24"/>
                <w:lang w:val="en-US"/>
              </w:rPr>
            </w:pPr>
            <w:r>
              <w:rPr>
                <w:rFonts w:ascii="Arial" w:hAnsi="Arial" w:cs="Arial"/>
                <w:sz w:val="24"/>
                <w:szCs w:val="24"/>
                <w:lang w:val="en-US"/>
              </w:rPr>
              <w:t>T</w:t>
            </w:r>
            <w:r w:rsidR="00EF063F">
              <w:rPr>
                <w:rFonts w:ascii="Arial" w:hAnsi="Arial" w:cs="Arial"/>
                <w:sz w:val="24"/>
                <w:szCs w:val="24"/>
                <w:lang w:val="en-US"/>
              </w:rPr>
              <w:t>he OSs and the contracting authority</w:t>
            </w:r>
            <w:r>
              <w:rPr>
                <w:rFonts w:ascii="Arial" w:hAnsi="Arial" w:cs="Arial"/>
                <w:sz w:val="24"/>
                <w:szCs w:val="24"/>
                <w:lang w:val="en-US"/>
              </w:rPr>
              <w:t>, supported by the JTS</w:t>
            </w:r>
          </w:p>
        </w:tc>
      </w:tr>
      <w:tr w:rsidR="00EF063F" w:rsidTr="006B49D3">
        <w:tc>
          <w:tcPr>
            <w:tcW w:w="4621" w:type="dxa"/>
          </w:tcPr>
          <w:p w:rsidR="00EF063F" w:rsidRPr="001644FA" w:rsidRDefault="00EF063F" w:rsidP="00EF063F">
            <w:pPr>
              <w:pStyle w:val="ListParagraph"/>
              <w:numPr>
                <w:ilvl w:val="0"/>
                <w:numId w:val="31"/>
              </w:numPr>
              <w:jc w:val="both"/>
              <w:rPr>
                <w:rFonts w:ascii="Arial" w:hAnsi="Arial" w:cs="Arial"/>
                <w:sz w:val="24"/>
                <w:szCs w:val="24"/>
                <w:lang w:val="en-US"/>
              </w:rPr>
            </w:pPr>
            <w:r>
              <w:rPr>
                <w:rFonts w:ascii="Arial" w:hAnsi="Arial" w:cs="Arial"/>
                <w:sz w:val="24"/>
                <w:szCs w:val="24"/>
                <w:lang w:val="en-US"/>
              </w:rPr>
              <w:t>Approval or endorsement of an application package</w:t>
            </w:r>
          </w:p>
        </w:tc>
        <w:tc>
          <w:tcPr>
            <w:tcW w:w="4621" w:type="dxa"/>
          </w:tcPr>
          <w:p w:rsidR="00EF063F" w:rsidRDefault="00EF063F" w:rsidP="00316F9D">
            <w:pPr>
              <w:jc w:val="both"/>
              <w:rPr>
                <w:rFonts w:ascii="Arial" w:hAnsi="Arial" w:cs="Arial"/>
                <w:sz w:val="24"/>
                <w:szCs w:val="24"/>
                <w:lang w:val="en-US"/>
              </w:rPr>
            </w:pPr>
            <w:r>
              <w:rPr>
                <w:rFonts w:ascii="Arial" w:hAnsi="Arial" w:cs="Arial"/>
                <w:sz w:val="24"/>
                <w:szCs w:val="24"/>
                <w:lang w:val="en-US"/>
              </w:rPr>
              <w:t>The relevant DEU</w:t>
            </w:r>
          </w:p>
        </w:tc>
      </w:tr>
      <w:tr w:rsidR="00EF063F" w:rsidTr="006B49D3">
        <w:tc>
          <w:tcPr>
            <w:tcW w:w="4621" w:type="dxa"/>
          </w:tcPr>
          <w:p w:rsidR="00EF063F" w:rsidRPr="00EF063F" w:rsidRDefault="00EF063F" w:rsidP="00EF063F">
            <w:pPr>
              <w:pStyle w:val="ListParagraph"/>
              <w:numPr>
                <w:ilvl w:val="0"/>
                <w:numId w:val="31"/>
              </w:numPr>
              <w:jc w:val="both"/>
              <w:rPr>
                <w:rFonts w:ascii="Arial" w:hAnsi="Arial" w:cs="Arial"/>
                <w:sz w:val="24"/>
                <w:szCs w:val="24"/>
                <w:lang w:val="en-US"/>
              </w:rPr>
            </w:pPr>
            <w:r>
              <w:rPr>
                <w:rFonts w:ascii="Arial" w:hAnsi="Arial" w:cs="Arial"/>
                <w:sz w:val="24"/>
                <w:szCs w:val="24"/>
                <w:lang w:val="en-US"/>
              </w:rPr>
              <w:t>Publication of the application package</w:t>
            </w:r>
          </w:p>
        </w:tc>
        <w:tc>
          <w:tcPr>
            <w:tcW w:w="4621" w:type="dxa"/>
          </w:tcPr>
          <w:p w:rsidR="00EF063F" w:rsidRDefault="00EF063F" w:rsidP="00316F9D">
            <w:pPr>
              <w:jc w:val="both"/>
              <w:rPr>
                <w:rFonts w:ascii="Arial" w:hAnsi="Arial" w:cs="Arial"/>
                <w:sz w:val="24"/>
                <w:szCs w:val="24"/>
                <w:lang w:val="en-US"/>
              </w:rPr>
            </w:pPr>
            <w:r>
              <w:rPr>
                <w:rFonts w:ascii="Arial" w:hAnsi="Arial" w:cs="Arial"/>
                <w:sz w:val="24"/>
                <w:szCs w:val="24"/>
                <w:lang w:val="en-US"/>
              </w:rPr>
              <w:t>The contracting authority</w:t>
            </w:r>
          </w:p>
        </w:tc>
      </w:tr>
    </w:tbl>
    <w:p w:rsidR="00D40BF9" w:rsidRDefault="00D40BF9" w:rsidP="00D40BF9">
      <w:pPr>
        <w:spacing w:after="0" w:line="240" w:lineRule="auto"/>
        <w:jc w:val="both"/>
        <w:rPr>
          <w:rFonts w:ascii="Arial" w:hAnsi="Arial" w:cs="Arial"/>
          <w:sz w:val="24"/>
          <w:szCs w:val="24"/>
          <w:lang w:val="en-US"/>
        </w:rPr>
      </w:pPr>
    </w:p>
    <w:p w:rsidR="00D9128C" w:rsidRDefault="00D9128C" w:rsidP="00316F9D">
      <w:pPr>
        <w:spacing w:after="0" w:line="240" w:lineRule="auto"/>
        <w:jc w:val="both"/>
        <w:rPr>
          <w:rFonts w:ascii="Arial" w:hAnsi="Arial" w:cs="Arial"/>
          <w:sz w:val="24"/>
          <w:szCs w:val="24"/>
          <w:lang w:val="en-US"/>
        </w:rPr>
      </w:pPr>
    </w:p>
    <w:tbl>
      <w:tblPr>
        <w:tblStyle w:val="TableGrid"/>
        <w:tblW w:w="0" w:type="auto"/>
        <w:tblLook w:val="04A0"/>
      </w:tblPr>
      <w:tblGrid>
        <w:gridCol w:w="4621"/>
        <w:gridCol w:w="4621"/>
      </w:tblGrid>
      <w:tr w:rsidR="006B49D3" w:rsidTr="009A66B6">
        <w:tc>
          <w:tcPr>
            <w:tcW w:w="9242" w:type="dxa"/>
            <w:gridSpan w:val="2"/>
            <w:shd w:val="clear" w:color="auto" w:fill="1F497D" w:themeFill="text2"/>
          </w:tcPr>
          <w:p w:rsidR="006B49D3" w:rsidRPr="009A66B6" w:rsidRDefault="006B49D3" w:rsidP="00A10833">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Selection outside a call for proposals</w:t>
            </w:r>
          </w:p>
        </w:tc>
      </w:tr>
      <w:tr w:rsidR="006B49D3" w:rsidRPr="00EF063F" w:rsidTr="009A66B6">
        <w:tc>
          <w:tcPr>
            <w:tcW w:w="4621" w:type="dxa"/>
            <w:shd w:val="clear" w:color="auto" w:fill="C6D9F1" w:themeFill="text2" w:themeFillTint="33"/>
          </w:tcPr>
          <w:p w:rsidR="006B49D3" w:rsidRPr="009A66B6" w:rsidRDefault="006B49D3" w:rsidP="009A66B6">
            <w:pPr>
              <w:jc w:val="center"/>
              <w:rPr>
                <w:rFonts w:ascii="Arial" w:hAnsi="Arial" w:cs="Arial"/>
                <w:b/>
                <w:i/>
                <w:sz w:val="24"/>
                <w:szCs w:val="24"/>
                <w:lang w:val="en-US"/>
              </w:rPr>
            </w:pPr>
            <w:r w:rsidRPr="009A66B6">
              <w:rPr>
                <w:rFonts w:ascii="Arial" w:hAnsi="Arial" w:cs="Arial"/>
                <w:b/>
                <w:i/>
                <w:sz w:val="24"/>
                <w:szCs w:val="24"/>
                <w:lang w:val="en-US"/>
              </w:rPr>
              <w:t>Steps</w:t>
            </w:r>
          </w:p>
        </w:tc>
        <w:tc>
          <w:tcPr>
            <w:tcW w:w="4621" w:type="dxa"/>
            <w:shd w:val="clear" w:color="auto" w:fill="C6D9F1" w:themeFill="text2" w:themeFillTint="33"/>
          </w:tcPr>
          <w:p w:rsidR="006B49D3" w:rsidRPr="009A66B6" w:rsidRDefault="00EF063F" w:rsidP="009A66B6">
            <w:pPr>
              <w:jc w:val="center"/>
              <w:rPr>
                <w:rFonts w:ascii="Arial" w:hAnsi="Arial" w:cs="Arial"/>
                <w:b/>
                <w:i/>
                <w:sz w:val="24"/>
                <w:szCs w:val="24"/>
                <w:lang w:val="en-US"/>
              </w:rPr>
            </w:pPr>
            <w:r w:rsidRPr="009A66B6">
              <w:rPr>
                <w:rFonts w:ascii="Arial" w:hAnsi="Arial" w:cs="Arial"/>
                <w:b/>
                <w:i/>
                <w:sz w:val="24"/>
                <w:szCs w:val="24"/>
                <w:lang w:val="en-US"/>
              </w:rPr>
              <w:t>Stakeholders’ involvement</w:t>
            </w:r>
          </w:p>
        </w:tc>
      </w:tr>
      <w:tr w:rsidR="007C00EC" w:rsidTr="00A10833">
        <w:tc>
          <w:tcPr>
            <w:tcW w:w="4621" w:type="dxa"/>
          </w:tcPr>
          <w:p w:rsidR="007C00EC" w:rsidRPr="009F6C17" w:rsidRDefault="007C00EC" w:rsidP="00EF063F">
            <w:pPr>
              <w:pStyle w:val="ListParagraph"/>
              <w:numPr>
                <w:ilvl w:val="0"/>
                <w:numId w:val="32"/>
              </w:numPr>
              <w:jc w:val="both"/>
              <w:rPr>
                <w:rFonts w:ascii="Arial" w:hAnsi="Arial" w:cs="Arial"/>
                <w:sz w:val="24"/>
                <w:szCs w:val="24"/>
                <w:lang w:val="en-US"/>
              </w:rPr>
            </w:pPr>
            <w:r w:rsidRPr="009F6C17">
              <w:rPr>
                <w:rFonts w:ascii="Arial" w:eastAsia="Times New Roman" w:hAnsi="Arial" w:cs="Arial"/>
                <w:sz w:val="24"/>
                <w:szCs w:val="24"/>
                <w:lang w:eastAsia="de-DE"/>
              </w:rPr>
              <w:t>Identification and confirmation of the strategic approach</w:t>
            </w:r>
          </w:p>
        </w:tc>
        <w:tc>
          <w:tcPr>
            <w:tcW w:w="4621" w:type="dxa"/>
          </w:tcPr>
          <w:p w:rsidR="007C00EC" w:rsidRPr="009F6C17" w:rsidRDefault="007C00EC" w:rsidP="00A10833">
            <w:pPr>
              <w:jc w:val="both"/>
              <w:rPr>
                <w:rFonts w:ascii="Arial" w:hAnsi="Arial" w:cs="Arial"/>
                <w:sz w:val="24"/>
                <w:szCs w:val="24"/>
                <w:lang w:val="en-US"/>
              </w:rPr>
            </w:pPr>
            <w:r w:rsidRPr="009F6C17">
              <w:rPr>
                <w:rFonts w:ascii="Arial" w:hAnsi="Arial" w:cs="Arial"/>
                <w:sz w:val="24"/>
                <w:szCs w:val="24"/>
                <w:lang w:val="en-US"/>
              </w:rPr>
              <w:t xml:space="preserve">The OSs, </w:t>
            </w:r>
            <w:r w:rsidR="009F6C17">
              <w:rPr>
                <w:rFonts w:ascii="Arial" w:hAnsi="Arial" w:cs="Arial"/>
                <w:sz w:val="24"/>
                <w:szCs w:val="24"/>
                <w:lang w:val="en-US"/>
              </w:rPr>
              <w:t xml:space="preserve">along with </w:t>
            </w:r>
            <w:r w:rsidRPr="009F6C17">
              <w:rPr>
                <w:rFonts w:ascii="Arial" w:hAnsi="Arial" w:cs="Arial"/>
                <w:sz w:val="24"/>
                <w:szCs w:val="24"/>
                <w:lang w:val="en-US"/>
              </w:rPr>
              <w:t>the JMC</w:t>
            </w:r>
          </w:p>
        </w:tc>
      </w:tr>
      <w:tr w:rsidR="006B49D3" w:rsidTr="00A10833">
        <w:tc>
          <w:tcPr>
            <w:tcW w:w="4621" w:type="dxa"/>
          </w:tcPr>
          <w:p w:rsidR="006B49D3" w:rsidRPr="00EF063F" w:rsidRDefault="006B4F9B" w:rsidP="00EF063F">
            <w:pPr>
              <w:pStyle w:val="ListParagraph"/>
              <w:numPr>
                <w:ilvl w:val="0"/>
                <w:numId w:val="32"/>
              </w:numPr>
              <w:jc w:val="both"/>
              <w:rPr>
                <w:rFonts w:ascii="Arial" w:hAnsi="Arial" w:cs="Arial"/>
                <w:sz w:val="24"/>
                <w:szCs w:val="24"/>
                <w:lang w:val="en-US"/>
              </w:rPr>
            </w:pPr>
            <w:r>
              <w:rPr>
                <w:rFonts w:ascii="Arial" w:hAnsi="Arial" w:cs="Arial"/>
                <w:sz w:val="24"/>
                <w:szCs w:val="24"/>
                <w:lang w:val="en-US"/>
              </w:rPr>
              <w:t>Collection of project ideas</w:t>
            </w:r>
            <w:r w:rsidR="005F47D1">
              <w:rPr>
                <w:rFonts w:ascii="Arial" w:hAnsi="Arial" w:cs="Arial"/>
                <w:sz w:val="24"/>
                <w:szCs w:val="24"/>
                <w:lang w:val="en-US"/>
              </w:rPr>
              <w:t xml:space="preserve"> (using the annex 2 ‘standard fact sheet’)</w:t>
            </w:r>
            <w:r>
              <w:rPr>
                <w:rFonts w:ascii="Arial" w:hAnsi="Arial" w:cs="Arial"/>
                <w:sz w:val="24"/>
                <w:szCs w:val="24"/>
                <w:lang w:val="en-US"/>
              </w:rPr>
              <w:t xml:space="preserve"> from local, regional and central authorities, as well as from partnerships of these authorities with civil society organisations </w:t>
            </w:r>
          </w:p>
        </w:tc>
        <w:tc>
          <w:tcPr>
            <w:tcW w:w="4621" w:type="dxa"/>
          </w:tcPr>
          <w:p w:rsidR="006B49D3" w:rsidRDefault="009E637C" w:rsidP="00A10833">
            <w:pPr>
              <w:jc w:val="both"/>
              <w:rPr>
                <w:rFonts w:ascii="Arial" w:hAnsi="Arial" w:cs="Arial"/>
                <w:sz w:val="24"/>
                <w:szCs w:val="24"/>
                <w:lang w:val="en-US"/>
              </w:rPr>
            </w:pPr>
            <w:r>
              <w:rPr>
                <w:rFonts w:ascii="Arial" w:hAnsi="Arial" w:cs="Arial"/>
                <w:sz w:val="24"/>
                <w:szCs w:val="24"/>
                <w:lang w:val="en-US"/>
              </w:rPr>
              <w:t>The OSs, assisted by the JTS</w:t>
            </w:r>
          </w:p>
        </w:tc>
      </w:tr>
      <w:tr w:rsidR="006B49D3" w:rsidRPr="009F6C17" w:rsidTr="00A10833">
        <w:tc>
          <w:tcPr>
            <w:tcW w:w="4621" w:type="dxa"/>
          </w:tcPr>
          <w:p w:rsidR="006B49D3" w:rsidRPr="009F6C17" w:rsidRDefault="00CC0C41" w:rsidP="00BD20C8">
            <w:pPr>
              <w:pStyle w:val="ListParagraph"/>
              <w:numPr>
                <w:ilvl w:val="0"/>
                <w:numId w:val="32"/>
              </w:numPr>
              <w:jc w:val="both"/>
              <w:rPr>
                <w:rFonts w:ascii="Arial" w:hAnsi="Arial" w:cs="Arial"/>
                <w:sz w:val="24"/>
                <w:szCs w:val="24"/>
                <w:lang w:val="en-US"/>
              </w:rPr>
            </w:pPr>
            <w:r w:rsidRPr="009F6C17">
              <w:rPr>
                <w:rFonts w:ascii="Arial" w:hAnsi="Arial" w:cs="Arial"/>
                <w:sz w:val="24"/>
                <w:szCs w:val="24"/>
                <w:lang w:val="en-US"/>
              </w:rPr>
              <w:t xml:space="preserve">Analysis </w:t>
            </w:r>
            <w:r w:rsidR="00D8053E" w:rsidRPr="009F6C17">
              <w:rPr>
                <w:rFonts w:ascii="Arial" w:hAnsi="Arial" w:cs="Arial"/>
                <w:sz w:val="24"/>
                <w:szCs w:val="24"/>
                <w:lang w:val="en-US"/>
              </w:rPr>
              <w:t xml:space="preserve">and classification </w:t>
            </w:r>
            <w:r w:rsidR="006B4F9B" w:rsidRPr="009F6C17">
              <w:rPr>
                <w:rFonts w:ascii="Arial" w:hAnsi="Arial" w:cs="Arial"/>
                <w:sz w:val="24"/>
                <w:szCs w:val="24"/>
                <w:lang w:val="en-US"/>
              </w:rPr>
              <w:t xml:space="preserve">of the project ideas </w:t>
            </w:r>
          </w:p>
        </w:tc>
        <w:tc>
          <w:tcPr>
            <w:tcW w:w="4621" w:type="dxa"/>
          </w:tcPr>
          <w:p w:rsidR="006B49D3" w:rsidRPr="009F6C17" w:rsidRDefault="006B4F9B" w:rsidP="00A10833">
            <w:pPr>
              <w:jc w:val="both"/>
              <w:rPr>
                <w:rFonts w:ascii="Arial" w:hAnsi="Arial" w:cs="Arial"/>
                <w:sz w:val="24"/>
                <w:szCs w:val="24"/>
                <w:lang w:val="en-US"/>
              </w:rPr>
            </w:pPr>
            <w:r w:rsidRPr="009F6C17">
              <w:rPr>
                <w:rFonts w:ascii="Arial" w:hAnsi="Arial" w:cs="Arial"/>
                <w:sz w:val="24"/>
                <w:szCs w:val="24"/>
                <w:lang w:val="en-US"/>
              </w:rPr>
              <w:t>The OSs, assisted by the JTS</w:t>
            </w:r>
          </w:p>
        </w:tc>
      </w:tr>
      <w:tr w:rsidR="006B49D3" w:rsidTr="00A10833">
        <w:tc>
          <w:tcPr>
            <w:tcW w:w="4621" w:type="dxa"/>
          </w:tcPr>
          <w:p w:rsidR="006B49D3" w:rsidRPr="009F6C17" w:rsidRDefault="006B4F9B" w:rsidP="007C00EC">
            <w:pPr>
              <w:pStyle w:val="ListParagraph"/>
              <w:numPr>
                <w:ilvl w:val="0"/>
                <w:numId w:val="32"/>
              </w:numPr>
              <w:jc w:val="both"/>
              <w:rPr>
                <w:rFonts w:ascii="Arial" w:hAnsi="Arial" w:cs="Arial"/>
                <w:sz w:val="24"/>
                <w:szCs w:val="24"/>
                <w:lang w:val="en-US"/>
              </w:rPr>
            </w:pPr>
            <w:r w:rsidRPr="009F6C17">
              <w:rPr>
                <w:rFonts w:ascii="Arial" w:hAnsi="Arial" w:cs="Arial"/>
                <w:sz w:val="24"/>
                <w:szCs w:val="24"/>
                <w:lang w:val="en-US"/>
              </w:rPr>
              <w:t>Selection of the most suitable project idea</w:t>
            </w:r>
            <w:r w:rsidR="00D8053E" w:rsidRPr="009F6C17">
              <w:rPr>
                <w:rFonts w:ascii="Arial" w:hAnsi="Arial" w:cs="Arial"/>
                <w:sz w:val="24"/>
                <w:szCs w:val="24"/>
                <w:lang w:val="en-US"/>
              </w:rPr>
              <w:t>, based on a ranking list</w:t>
            </w:r>
            <w:r w:rsidRPr="009F6C17">
              <w:rPr>
                <w:rFonts w:ascii="Arial" w:hAnsi="Arial" w:cs="Arial"/>
                <w:sz w:val="24"/>
                <w:szCs w:val="24"/>
                <w:lang w:val="en-US"/>
              </w:rPr>
              <w:t xml:space="preserve"> </w:t>
            </w:r>
          </w:p>
        </w:tc>
        <w:tc>
          <w:tcPr>
            <w:tcW w:w="4621" w:type="dxa"/>
          </w:tcPr>
          <w:p w:rsidR="006B49D3" w:rsidRPr="009F6C17" w:rsidRDefault="00115297" w:rsidP="00A10833">
            <w:pPr>
              <w:jc w:val="both"/>
              <w:rPr>
                <w:rFonts w:ascii="Arial" w:hAnsi="Arial" w:cs="Arial"/>
                <w:sz w:val="24"/>
                <w:szCs w:val="24"/>
                <w:lang w:val="en-US"/>
              </w:rPr>
            </w:pPr>
            <w:r w:rsidRPr="009F6C17">
              <w:rPr>
                <w:rFonts w:ascii="Arial" w:hAnsi="Arial" w:cs="Arial"/>
                <w:sz w:val="24"/>
                <w:szCs w:val="24"/>
                <w:lang w:val="en-US"/>
              </w:rPr>
              <w:t xml:space="preserve">Proposal by the OSs, </w:t>
            </w:r>
            <w:r w:rsidR="006B4F9B" w:rsidRPr="009F6C17">
              <w:rPr>
                <w:rFonts w:ascii="Arial" w:hAnsi="Arial" w:cs="Arial"/>
                <w:sz w:val="24"/>
                <w:szCs w:val="24"/>
                <w:lang w:val="en-US"/>
              </w:rPr>
              <w:t xml:space="preserve">JMC </w:t>
            </w:r>
            <w:r w:rsidRPr="009F6C17">
              <w:rPr>
                <w:rFonts w:ascii="Arial" w:hAnsi="Arial" w:cs="Arial"/>
                <w:sz w:val="24"/>
                <w:szCs w:val="24"/>
                <w:lang w:val="en-US"/>
              </w:rPr>
              <w:t>approval</w:t>
            </w:r>
          </w:p>
        </w:tc>
      </w:tr>
      <w:tr w:rsidR="00D8053E" w:rsidRPr="009F6C17" w:rsidTr="00A10833">
        <w:tc>
          <w:tcPr>
            <w:tcW w:w="4621" w:type="dxa"/>
          </w:tcPr>
          <w:p w:rsidR="00D8053E" w:rsidRPr="009F6C17" w:rsidRDefault="00115297" w:rsidP="007C00EC">
            <w:pPr>
              <w:pStyle w:val="ListParagraph"/>
              <w:numPr>
                <w:ilvl w:val="0"/>
                <w:numId w:val="32"/>
              </w:numPr>
              <w:jc w:val="both"/>
              <w:rPr>
                <w:rFonts w:ascii="Arial" w:hAnsi="Arial" w:cs="Arial"/>
                <w:sz w:val="24"/>
                <w:szCs w:val="24"/>
                <w:lang w:val="en-US"/>
              </w:rPr>
            </w:pPr>
            <w:r w:rsidRPr="009F6C17">
              <w:rPr>
                <w:rFonts w:ascii="Arial" w:hAnsi="Arial" w:cs="Arial"/>
                <w:sz w:val="24"/>
                <w:szCs w:val="24"/>
                <w:lang w:val="en-US"/>
              </w:rPr>
              <w:t>Preparation of a r</w:t>
            </w:r>
            <w:r w:rsidR="009F6C17" w:rsidRPr="009F6C17">
              <w:rPr>
                <w:rFonts w:ascii="Arial" w:hAnsi="Arial" w:cs="Arial"/>
                <w:sz w:val="24"/>
                <w:szCs w:val="24"/>
                <w:lang w:val="en-US"/>
              </w:rPr>
              <w:t>equest to the Commission</w:t>
            </w:r>
            <w:r w:rsidR="00D8053E" w:rsidRPr="009F6C17">
              <w:rPr>
                <w:rFonts w:ascii="Arial" w:hAnsi="Arial" w:cs="Arial"/>
                <w:sz w:val="24"/>
                <w:szCs w:val="24"/>
                <w:lang w:val="en-US"/>
              </w:rPr>
              <w:t xml:space="preserve"> for </w:t>
            </w:r>
            <w:r w:rsidR="007C00EC" w:rsidRPr="009F6C17">
              <w:rPr>
                <w:rFonts w:ascii="Arial" w:hAnsi="Arial" w:cs="Arial"/>
                <w:sz w:val="24"/>
                <w:szCs w:val="24"/>
                <w:lang w:val="en-US"/>
              </w:rPr>
              <w:t xml:space="preserve">the </w:t>
            </w:r>
            <w:r w:rsidR="009F6C17">
              <w:rPr>
                <w:rFonts w:ascii="Arial" w:hAnsi="Arial" w:cs="Arial"/>
                <w:sz w:val="24"/>
                <w:szCs w:val="24"/>
                <w:lang w:val="en-US"/>
              </w:rPr>
              <w:t xml:space="preserve">approval of the </w:t>
            </w:r>
            <w:r w:rsidR="007C00EC" w:rsidRPr="009F6C17">
              <w:rPr>
                <w:rFonts w:ascii="Arial" w:hAnsi="Arial" w:cs="Arial"/>
                <w:sz w:val="24"/>
                <w:szCs w:val="24"/>
                <w:lang w:val="en-US"/>
              </w:rPr>
              <w:t>selected project</w:t>
            </w:r>
            <w:r w:rsidR="009F6C17">
              <w:rPr>
                <w:rFonts w:ascii="Arial" w:hAnsi="Arial" w:cs="Arial"/>
                <w:sz w:val="24"/>
                <w:szCs w:val="24"/>
                <w:lang w:val="en-US"/>
              </w:rPr>
              <w:t xml:space="preserve"> along with an amendment of the programme</w:t>
            </w:r>
          </w:p>
        </w:tc>
        <w:tc>
          <w:tcPr>
            <w:tcW w:w="4621" w:type="dxa"/>
          </w:tcPr>
          <w:p w:rsidR="00D8053E" w:rsidRPr="009F6C17" w:rsidRDefault="00D8053E" w:rsidP="006B4F9B">
            <w:pPr>
              <w:jc w:val="both"/>
              <w:rPr>
                <w:rFonts w:ascii="Arial" w:hAnsi="Arial" w:cs="Arial"/>
                <w:sz w:val="24"/>
                <w:szCs w:val="24"/>
                <w:lang w:val="en-US"/>
              </w:rPr>
            </w:pPr>
            <w:r w:rsidRPr="009F6C17">
              <w:rPr>
                <w:rFonts w:ascii="Arial" w:hAnsi="Arial" w:cs="Arial"/>
                <w:sz w:val="24"/>
                <w:szCs w:val="24"/>
                <w:lang w:val="en-US"/>
              </w:rPr>
              <w:t>The OSs</w:t>
            </w:r>
            <w:r w:rsidR="00115297" w:rsidRPr="009F6C17">
              <w:rPr>
                <w:rFonts w:ascii="Arial" w:hAnsi="Arial" w:cs="Arial"/>
                <w:sz w:val="24"/>
                <w:szCs w:val="24"/>
                <w:lang w:val="en-US"/>
              </w:rPr>
              <w:t>, assisted by the JTS</w:t>
            </w:r>
          </w:p>
        </w:tc>
      </w:tr>
      <w:tr w:rsidR="006B49D3" w:rsidRPr="009F6C17" w:rsidTr="00A10833">
        <w:tc>
          <w:tcPr>
            <w:tcW w:w="4621" w:type="dxa"/>
          </w:tcPr>
          <w:p w:rsidR="006B49D3" w:rsidRPr="009F6C17" w:rsidRDefault="006B4F9B" w:rsidP="006C33C7">
            <w:pPr>
              <w:pStyle w:val="ListParagraph"/>
              <w:numPr>
                <w:ilvl w:val="0"/>
                <w:numId w:val="32"/>
              </w:numPr>
              <w:jc w:val="both"/>
              <w:rPr>
                <w:rFonts w:ascii="Arial" w:hAnsi="Arial" w:cs="Arial"/>
                <w:sz w:val="24"/>
                <w:szCs w:val="24"/>
                <w:lang w:val="en-US"/>
              </w:rPr>
            </w:pPr>
            <w:r w:rsidRPr="009F6C17">
              <w:rPr>
                <w:rFonts w:ascii="Arial" w:hAnsi="Arial" w:cs="Arial"/>
                <w:sz w:val="24"/>
                <w:szCs w:val="24"/>
                <w:lang w:val="en-US"/>
              </w:rPr>
              <w:t>Endorsement of th</w:t>
            </w:r>
            <w:r w:rsidR="00115297" w:rsidRPr="009F6C17">
              <w:rPr>
                <w:rFonts w:ascii="Arial" w:hAnsi="Arial" w:cs="Arial"/>
                <w:sz w:val="24"/>
                <w:szCs w:val="24"/>
                <w:lang w:val="en-US"/>
              </w:rPr>
              <w:t>e request</w:t>
            </w:r>
            <w:r w:rsidR="009F6C17">
              <w:rPr>
                <w:rFonts w:ascii="Arial" w:hAnsi="Arial" w:cs="Arial"/>
                <w:sz w:val="24"/>
                <w:szCs w:val="24"/>
                <w:lang w:val="en-US"/>
              </w:rPr>
              <w:t xml:space="preserve"> and adoption of the programme amendment</w:t>
            </w:r>
          </w:p>
        </w:tc>
        <w:tc>
          <w:tcPr>
            <w:tcW w:w="4621" w:type="dxa"/>
          </w:tcPr>
          <w:p w:rsidR="006B49D3" w:rsidRPr="009F6C17" w:rsidRDefault="007C00EC" w:rsidP="00115297">
            <w:pPr>
              <w:jc w:val="both"/>
              <w:rPr>
                <w:rFonts w:ascii="Arial" w:hAnsi="Arial" w:cs="Arial"/>
                <w:sz w:val="24"/>
                <w:szCs w:val="24"/>
                <w:lang w:val="en-US"/>
              </w:rPr>
            </w:pPr>
            <w:r w:rsidRPr="009F6C17">
              <w:rPr>
                <w:rFonts w:ascii="Arial" w:hAnsi="Arial" w:cs="Arial"/>
                <w:sz w:val="24"/>
                <w:szCs w:val="24"/>
                <w:lang w:val="en-US"/>
              </w:rPr>
              <w:t>T</w:t>
            </w:r>
            <w:r w:rsidR="00115297" w:rsidRPr="009F6C17">
              <w:rPr>
                <w:rFonts w:ascii="Arial" w:hAnsi="Arial" w:cs="Arial"/>
                <w:sz w:val="24"/>
                <w:szCs w:val="24"/>
                <w:lang w:val="en-US"/>
              </w:rPr>
              <w:t xml:space="preserve">he </w:t>
            </w:r>
            <w:r w:rsidR="009F6C17">
              <w:rPr>
                <w:rFonts w:ascii="Arial" w:hAnsi="Arial" w:cs="Arial"/>
                <w:sz w:val="24"/>
                <w:szCs w:val="24"/>
                <w:lang w:val="en-US"/>
              </w:rPr>
              <w:t>Commission and the IPA Committee</w:t>
            </w:r>
          </w:p>
        </w:tc>
      </w:tr>
      <w:tr w:rsidR="009E637C" w:rsidTr="00A10833">
        <w:tc>
          <w:tcPr>
            <w:tcW w:w="4621" w:type="dxa"/>
          </w:tcPr>
          <w:p w:rsidR="009E637C" w:rsidRPr="009E637C" w:rsidRDefault="009E637C" w:rsidP="00A150AE">
            <w:pPr>
              <w:pStyle w:val="ListParagraph"/>
              <w:numPr>
                <w:ilvl w:val="0"/>
                <w:numId w:val="32"/>
              </w:numPr>
              <w:jc w:val="both"/>
              <w:rPr>
                <w:rFonts w:ascii="Arial" w:hAnsi="Arial" w:cs="Arial"/>
                <w:sz w:val="24"/>
                <w:szCs w:val="24"/>
                <w:lang w:val="en-US"/>
              </w:rPr>
            </w:pPr>
            <w:r>
              <w:rPr>
                <w:rFonts w:ascii="Arial" w:hAnsi="Arial" w:cs="Arial"/>
                <w:sz w:val="24"/>
                <w:szCs w:val="24"/>
                <w:lang w:val="en-US"/>
              </w:rPr>
              <w:t xml:space="preserve">Depending on the type of procurement, </w:t>
            </w:r>
            <w:r w:rsidR="007142C7">
              <w:rPr>
                <w:rFonts w:ascii="Arial" w:hAnsi="Arial" w:cs="Arial"/>
                <w:sz w:val="24"/>
                <w:szCs w:val="24"/>
                <w:lang w:val="en-US"/>
              </w:rPr>
              <w:t xml:space="preserve">elaboration or </w:t>
            </w:r>
            <w:r w:rsidR="00CC0C41">
              <w:rPr>
                <w:rFonts w:ascii="Arial" w:hAnsi="Arial" w:cs="Arial"/>
                <w:sz w:val="24"/>
                <w:szCs w:val="24"/>
                <w:lang w:val="en-US"/>
              </w:rPr>
              <w:t xml:space="preserve">review </w:t>
            </w:r>
            <w:r>
              <w:rPr>
                <w:rFonts w:ascii="Arial" w:hAnsi="Arial" w:cs="Arial"/>
                <w:sz w:val="24"/>
                <w:szCs w:val="24"/>
                <w:lang w:val="en-US"/>
              </w:rPr>
              <w:t>of the terms of reference</w:t>
            </w:r>
            <w:r w:rsidR="00A150AE">
              <w:rPr>
                <w:rFonts w:ascii="Arial" w:hAnsi="Arial" w:cs="Arial"/>
                <w:sz w:val="24"/>
                <w:szCs w:val="24"/>
                <w:lang w:val="en-US"/>
              </w:rPr>
              <w:t xml:space="preserve"> </w:t>
            </w:r>
            <w:r w:rsidR="007142C7">
              <w:rPr>
                <w:rFonts w:ascii="Arial" w:hAnsi="Arial" w:cs="Arial"/>
                <w:sz w:val="24"/>
                <w:szCs w:val="24"/>
                <w:lang w:val="en-US"/>
              </w:rPr>
              <w:t>and/</w:t>
            </w:r>
            <w:r w:rsidR="00A150AE">
              <w:rPr>
                <w:rFonts w:ascii="Arial" w:hAnsi="Arial" w:cs="Arial"/>
                <w:sz w:val="24"/>
                <w:szCs w:val="24"/>
                <w:lang w:val="en-US"/>
              </w:rPr>
              <w:t xml:space="preserve">or </w:t>
            </w:r>
            <w:r>
              <w:rPr>
                <w:rFonts w:ascii="Arial" w:hAnsi="Arial" w:cs="Arial"/>
                <w:sz w:val="24"/>
                <w:szCs w:val="24"/>
                <w:lang w:val="en-US"/>
              </w:rPr>
              <w:t>technica</w:t>
            </w:r>
            <w:r w:rsidR="00A150AE">
              <w:rPr>
                <w:rFonts w:ascii="Arial" w:hAnsi="Arial" w:cs="Arial"/>
                <w:sz w:val="24"/>
                <w:szCs w:val="24"/>
                <w:lang w:val="en-US"/>
              </w:rPr>
              <w:t>l specifications</w:t>
            </w:r>
          </w:p>
        </w:tc>
        <w:tc>
          <w:tcPr>
            <w:tcW w:w="4621" w:type="dxa"/>
          </w:tcPr>
          <w:p w:rsidR="009E637C" w:rsidRDefault="009E637C" w:rsidP="00A10833">
            <w:pPr>
              <w:jc w:val="both"/>
              <w:rPr>
                <w:rFonts w:ascii="Arial" w:hAnsi="Arial" w:cs="Arial"/>
                <w:sz w:val="24"/>
                <w:szCs w:val="24"/>
                <w:lang w:val="en-US"/>
              </w:rPr>
            </w:pPr>
            <w:r>
              <w:rPr>
                <w:rFonts w:ascii="Arial" w:hAnsi="Arial" w:cs="Arial"/>
                <w:sz w:val="24"/>
                <w:szCs w:val="24"/>
                <w:lang w:val="en-US"/>
              </w:rPr>
              <w:t xml:space="preserve">The OSs, assisted by </w:t>
            </w:r>
            <w:r w:rsidR="007142C7">
              <w:rPr>
                <w:rFonts w:ascii="Arial" w:hAnsi="Arial" w:cs="Arial"/>
                <w:sz w:val="24"/>
                <w:szCs w:val="24"/>
                <w:lang w:val="en-US"/>
              </w:rPr>
              <w:t xml:space="preserve">the line Ministries and </w:t>
            </w:r>
            <w:r>
              <w:rPr>
                <w:rFonts w:ascii="Arial" w:hAnsi="Arial" w:cs="Arial"/>
                <w:sz w:val="24"/>
                <w:szCs w:val="24"/>
                <w:lang w:val="en-US"/>
              </w:rPr>
              <w:t>the JTS, and in consultation with the contracting authority</w:t>
            </w:r>
          </w:p>
        </w:tc>
      </w:tr>
      <w:tr w:rsidR="009E637C" w:rsidTr="00A10833">
        <w:tc>
          <w:tcPr>
            <w:tcW w:w="4621" w:type="dxa"/>
          </w:tcPr>
          <w:p w:rsidR="009E637C" w:rsidRPr="009E637C" w:rsidRDefault="009E637C" w:rsidP="009E637C">
            <w:pPr>
              <w:pStyle w:val="ListParagraph"/>
              <w:numPr>
                <w:ilvl w:val="0"/>
                <w:numId w:val="32"/>
              </w:numPr>
              <w:jc w:val="both"/>
              <w:rPr>
                <w:rFonts w:ascii="Arial" w:hAnsi="Arial" w:cs="Arial"/>
                <w:sz w:val="24"/>
                <w:szCs w:val="24"/>
              </w:rPr>
            </w:pPr>
            <w:r>
              <w:rPr>
                <w:rFonts w:ascii="Arial" w:hAnsi="Arial" w:cs="Arial"/>
                <w:sz w:val="24"/>
                <w:szCs w:val="24"/>
              </w:rPr>
              <w:t>Approval or endorsement of the tender dossier</w:t>
            </w:r>
          </w:p>
        </w:tc>
        <w:tc>
          <w:tcPr>
            <w:tcW w:w="4621" w:type="dxa"/>
          </w:tcPr>
          <w:p w:rsidR="009E637C" w:rsidRPr="009E637C" w:rsidRDefault="009E637C" w:rsidP="00A10833">
            <w:pPr>
              <w:jc w:val="both"/>
              <w:rPr>
                <w:rFonts w:ascii="Arial" w:hAnsi="Arial" w:cs="Arial"/>
                <w:sz w:val="24"/>
                <w:szCs w:val="24"/>
              </w:rPr>
            </w:pPr>
            <w:r>
              <w:rPr>
                <w:rFonts w:ascii="Arial" w:hAnsi="Arial" w:cs="Arial"/>
                <w:sz w:val="24"/>
                <w:szCs w:val="24"/>
              </w:rPr>
              <w:t>The relevant DEU</w:t>
            </w:r>
          </w:p>
        </w:tc>
      </w:tr>
      <w:tr w:rsidR="009E637C" w:rsidTr="00A10833">
        <w:tc>
          <w:tcPr>
            <w:tcW w:w="4621" w:type="dxa"/>
          </w:tcPr>
          <w:p w:rsidR="009E637C" w:rsidRPr="009E637C" w:rsidRDefault="009E637C" w:rsidP="009E637C">
            <w:pPr>
              <w:pStyle w:val="ListParagraph"/>
              <w:numPr>
                <w:ilvl w:val="0"/>
                <w:numId w:val="32"/>
              </w:numPr>
              <w:jc w:val="both"/>
              <w:rPr>
                <w:rFonts w:ascii="Arial" w:hAnsi="Arial" w:cs="Arial"/>
                <w:sz w:val="24"/>
                <w:szCs w:val="24"/>
                <w:lang w:val="en-US"/>
              </w:rPr>
            </w:pPr>
            <w:r>
              <w:rPr>
                <w:rFonts w:ascii="Arial" w:hAnsi="Arial" w:cs="Arial"/>
                <w:sz w:val="24"/>
                <w:szCs w:val="24"/>
                <w:lang w:val="en-US"/>
              </w:rPr>
              <w:t>Publication of the tender</w:t>
            </w:r>
          </w:p>
        </w:tc>
        <w:tc>
          <w:tcPr>
            <w:tcW w:w="4621" w:type="dxa"/>
          </w:tcPr>
          <w:p w:rsidR="009E637C" w:rsidRDefault="009E637C" w:rsidP="00A10833">
            <w:pPr>
              <w:jc w:val="both"/>
              <w:rPr>
                <w:rFonts w:ascii="Arial" w:hAnsi="Arial" w:cs="Arial"/>
                <w:sz w:val="24"/>
                <w:szCs w:val="24"/>
                <w:lang w:val="en-US"/>
              </w:rPr>
            </w:pPr>
            <w:r>
              <w:rPr>
                <w:rFonts w:ascii="Arial" w:hAnsi="Arial" w:cs="Arial"/>
                <w:sz w:val="24"/>
                <w:szCs w:val="24"/>
                <w:lang w:val="en-US"/>
              </w:rPr>
              <w:t>The contracting authority</w:t>
            </w:r>
          </w:p>
        </w:tc>
      </w:tr>
    </w:tbl>
    <w:p w:rsidR="006B49D3" w:rsidRDefault="006B49D3" w:rsidP="00316F9D">
      <w:pPr>
        <w:spacing w:after="0" w:line="240" w:lineRule="auto"/>
        <w:jc w:val="both"/>
        <w:rPr>
          <w:rFonts w:ascii="Arial" w:hAnsi="Arial" w:cs="Arial"/>
          <w:sz w:val="24"/>
          <w:szCs w:val="24"/>
          <w:lang w:val="en-US"/>
        </w:rPr>
      </w:pPr>
    </w:p>
    <w:p w:rsidR="00B56399" w:rsidRPr="00B56399" w:rsidRDefault="00B56399" w:rsidP="00B56399">
      <w:pPr>
        <w:spacing w:after="0" w:line="240" w:lineRule="auto"/>
        <w:jc w:val="both"/>
        <w:rPr>
          <w:rFonts w:ascii="Arial" w:hAnsi="Arial" w:cs="Arial"/>
          <w:sz w:val="24"/>
          <w:szCs w:val="24"/>
        </w:rPr>
      </w:pPr>
      <w:r w:rsidRPr="00B56399">
        <w:rPr>
          <w:rFonts w:ascii="Arial" w:hAnsi="Arial" w:cs="Arial"/>
          <w:sz w:val="24"/>
          <w:szCs w:val="24"/>
        </w:rPr>
        <w:t>Projects of a preparatory character, such as the compilation of project documentation, cannot be considered strategic projects</w:t>
      </w:r>
      <w:r>
        <w:rPr>
          <w:rFonts w:ascii="Arial" w:hAnsi="Arial" w:cs="Arial"/>
          <w:sz w:val="24"/>
          <w:szCs w:val="24"/>
        </w:rPr>
        <w:t xml:space="preserve"> to be selected outside a call for proposals</w:t>
      </w:r>
      <w:r w:rsidRPr="00B56399">
        <w:rPr>
          <w:rFonts w:ascii="Arial" w:hAnsi="Arial" w:cs="Arial"/>
          <w:sz w:val="24"/>
          <w:szCs w:val="24"/>
        </w:rPr>
        <w:t>. Only ready-to-go institutional initiatives, which clearly target joint challenges at both sides of the border and produce sustainable and joint solutions, are suitable strategic projects</w:t>
      </w:r>
      <w:r w:rsidR="000F0BE8">
        <w:rPr>
          <w:rFonts w:ascii="Arial" w:hAnsi="Arial" w:cs="Arial"/>
          <w:sz w:val="24"/>
          <w:szCs w:val="24"/>
        </w:rPr>
        <w:t xml:space="preserve"> to be selected outside calls for proposals</w:t>
      </w:r>
      <w:r w:rsidRPr="00B56399">
        <w:rPr>
          <w:rFonts w:ascii="Arial" w:hAnsi="Arial" w:cs="Arial"/>
          <w:sz w:val="24"/>
          <w:szCs w:val="24"/>
        </w:rPr>
        <w:t>.</w:t>
      </w:r>
    </w:p>
    <w:p w:rsidR="009E637C" w:rsidRPr="00B56399" w:rsidRDefault="009E637C" w:rsidP="00316F9D">
      <w:pPr>
        <w:spacing w:after="0" w:line="240" w:lineRule="auto"/>
        <w:jc w:val="both"/>
        <w:rPr>
          <w:rFonts w:ascii="Arial" w:hAnsi="Arial" w:cs="Arial"/>
          <w:sz w:val="24"/>
          <w:szCs w:val="24"/>
        </w:rPr>
      </w:pPr>
    </w:p>
    <w:p w:rsidR="00D0265A" w:rsidRDefault="00D0265A" w:rsidP="00316F9D">
      <w:pPr>
        <w:spacing w:after="0" w:line="240" w:lineRule="auto"/>
        <w:jc w:val="both"/>
        <w:rPr>
          <w:rFonts w:ascii="Arial" w:hAnsi="Arial" w:cs="Arial"/>
          <w:sz w:val="24"/>
          <w:szCs w:val="24"/>
          <w:lang w:val="en-US"/>
        </w:rPr>
      </w:pPr>
      <w:r>
        <w:rPr>
          <w:rFonts w:ascii="Arial" w:hAnsi="Arial" w:cs="Arial"/>
          <w:sz w:val="24"/>
          <w:szCs w:val="24"/>
          <w:lang w:val="en-US"/>
        </w:rPr>
        <w:t>Out of the above mentioned steps for operations to be funded outside calls fo</w:t>
      </w:r>
      <w:r w:rsidR="00CF45B8">
        <w:rPr>
          <w:rFonts w:ascii="Arial" w:hAnsi="Arial" w:cs="Arial"/>
          <w:sz w:val="24"/>
          <w:szCs w:val="24"/>
          <w:lang w:val="en-US"/>
        </w:rPr>
        <w:t xml:space="preserve">r proposals, </w:t>
      </w:r>
      <w:r w:rsidR="00CF45B8" w:rsidRPr="00A757AD">
        <w:rPr>
          <w:rFonts w:ascii="Arial" w:hAnsi="Arial" w:cs="Arial"/>
          <w:sz w:val="24"/>
          <w:szCs w:val="24"/>
          <w:lang w:val="en-US"/>
        </w:rPr>
        <w:t>those bearing the N</w:t>
      </w:r>
      <w:r w:rsidR="001922D6" w:rsidRPr="00A757AD">
        <w:rPr>
          <w:rFonts w:ascii="Arial" w:hAnsi="Arial" w:cs="Arial"/>
          <w:sz w:val="24"/>
          <w:szCs w:val="24"/>
          <w:lang w:val="en-US"/>
        </w:rPr>
        <w:t>o</w:t>
      </w:r>
      <w:r w:rsidR="00CF45B8" w:rsidRPr="00A757AD">
        <w:rPr>
          <w:rFonts w:ascii="Arial" w:hAnsi="Arial" w:cs="Arial"/>
          <w:sz w:val="24"/>
          <w:szCs w:val="24"/>
          <w:lang w:val="en-US"/>
        </w:rPr>
        <w:t>s</w:t>
      </w:r>
      <w:r w:rsidR="000F0BE8" w:rsidRPr="00A757AD">
        <w:rPr>
          <w:rFonts w:ascii="Arial" w:hAnsi="Arial" w:cs="Arial"/>
          <w:sz w:val="24"/>
          <w:szCs w:val="24"/>
          <w:lang w:val="en-US"/>
        </w:rPr>
        <w:t xml:space="preserve"> </w:t>
      </w:r>
      <w:r w:rsidR="009F6C17" w:rsidRPr="00A757AD">
        <w:rPr>
          <w:rFonts w:ascii="Arial" w:hAnsi="Arial" w:cs="Arial"/>
          <w:sz w:val="24"/>
          <w:szCs w:val="24"/>
          <w:lang w:val="en-US"/>
        </w:rPr>
        <w:t>2</w:t>
      </w:r>
      <w:r w:rsidR="007267B4" w:rsidRPr="00A757AD">
        <w:rPr>
          <w:rFonts w:ascii="Arial" w:hAnsi="Arial" w:cs="Arial"/>
          <w:sz w:val="24"/>
          <w:szCs w:val="24"/>
          <w:lang w:val="en-US"/>
        </w:rPr>
        <w:t>, 3</w:t>
      </w:r>
      <w:r w:rsidR="000F0BE8" w:rsidRPr="00A757AD">
        <w:rPr>
          <w:rFonts w:ascii="Arial" w:hAnsi="Arial" w:cs="Arial"/>
          <w:sz w:val="24"/>
          <w:szCs w:val="24"/>
          <w:lang w:val="en-US"/>
        </w:rPr>
        <w:t xml:space="preserve"> &amp; </w:t>
      </w:r>
      <w:r w:rsidR="007267B4" w:rsidRPr="00A757AD">
        <w:rPr>
          <w:rFonts w:ascii="Arial" w:hAnsi="Arial" w:cs="Arial"/>
          <w:sz w:val="24"/>
          <w:szCs w:val="24"/>
          <w:lang w:val="en-US"/>
        </w:rPr>
        <w:t xml:space="preserve">4 </w:t>
      </w:r>
      <w:r w:rsidR="000F0BE8" w:rsidRPr="00A757AD">
        <w:rPr>
          <w:rFonts w:ascii="Arial" w:hAnsi="Arial" w:cs="Arial"/>
          <w:sz w:val="24"/>
          <w:szCs w:val="24"/>
          <w:lang w:val="en-US"/>
        </w:rPr>
        <w:t>d</w:t>
      </w:r>
      <w:r w:rsidR="000F0BE8">
        <w:rPr>
          <w:rFonts w:ascii="Arial" w:hAnsi="Arial" w:cs="Arial"/>
          <w:sz w:val="24"/>
          <w:szCs w:val="24"/>
          <w:lang w:val="en-US"/>
        </w:rPr>
        <w:t>eserve some further explanations</w:t>
      </w:r>
      <w:r>
        <w:rPr>
          <w:rFonts w:ascii="Arial" w:hAnsi="Arial" w:cs="Arial"/>
          <w:sz w:val="24"/>
          <w:szCs w:val="24"/>
          <w:lang w:val="en-US"/>
        </w:rPr>
        <w:t xml:space="preserve">. </w:t>
      </w:r>
    </w:p>
    <w:p w:rsidR="00D0265A" w:rsidRDefault="00D0265A" w:rsidP="00316F9D">
      <w:pPr>
        <w:spacing w:after="0" w:line="240" w:lineRule="auto"/>
        <w:jc w:val="both"/>
        <w:rPr>
          <w:rFonts w:ascii="Arial" w:hAnsi="Arial" w:cs="Arial"/>
          <w:sz w:val="24"/>
          <w:szCs w:val="24"/>
          <w:lang w:val="en-US"/>
        </w:rPr>
      </w:pPr>
    </w:p>
    <w:p w:rsidR="00B446BF" w:rsidRDefault="00D0265A" w:rsidP="00316F9D">
      <w:pPr>
        <w:spacing w:after="0" w:line="240" w:lineRule="auto"/>
        <w:jc w:val="both"/>
        <w:rPr>
          <w:rFonts w:ascii="Arial" w:hAnsi="Arial" w:cs="Arial"/>
          <w:sz w:val="24"/>
          <w:szCs w:val="24"/>
          <w:lang w:val="en-US"/>
        </w:rPr>
      </w:pPr>
      <w:r w:rsidRPr="00A757AD">
        <w:rPr>
          <w:rFonts w:ascii="Arial" w:hAnsi="Arial" w:cs="Arial"/>
          <w:sz w:val="24"/>
          <w:szCs w:val="24"/>
          <w:lang w:val="en-US"/>
        </w:rPr>
        <w:t>The collection of project ideas will require a serious effort from the OSs to find out what sort of projects the local, regional and national authorities may have developed to a level of detail that would make them mature for tender, while the implementation would have a potential cross-border impact in the programme eligible area. This information could be gathe</w:t>
      </w:r>
      <w:r w:rsidR="001922D6" w:rsidRPr="00A757AD">
        <w:rPr>
          <w:rFonts w:ascii="Arial" w:hAnsi="Arial" w:cs="Arial"/>
          <w:sz w:val="24"/>
          <w:szCs w:val="24"/>
          <w:lang w:val="en-US"/>
        </w:rPr>
        <w:t xml:space="preserve">red via a standard fact sheet for strategic projects (Annex </w:t>
      </w:r>
      <w:r w:rsidR="002A7698" w:rsidRPr="00A757AD">
        <w:rPr>
          <w:rFonts w:ascii="Arial" w:hAnsi="Arial" w:cs="Arial"/>
          <w:sz w:val="24"/>
          <w:szCs w:val="24"/>
          <w:lang w:val="en-US"/>
        </w:rPr>
        <w:t>2</w:t>
      </w:r>
      <w:r w:rsidR="001922D6" w:rsidRPr="00A757AD">
        <w:rPr>
          <w:rFonts w:ascii="Arial" w:hAnsi="Arial" w:cs="Arial"/>
          <w:sz w:val="24"/>
          <w:szCs w:val="24"/>
          <w:lang w:val="en-US"/>
        </w:rPr>
        <w:t>)</w:t>
      </w:r>
      <w:r w:rsidR="00107552" w:rsidRPr="00A757AD">
        <w:rPr>
          <w:rFonts w:ascii="Arial" w:hAnsi="Arial" w:cs="Arial"/>
          <w:sz w:val="24"/>
          <w:szCs w:val="24"/>
          <w:lang w:val="en-US"/>
        </w:rPr>
        <w:t>, or via an announcement through media,</w:t>
      </w:r>
      <w:r w:rsidR="001922D6" w:rsidRPr="00A757AD">
        <w:rPr>
          <w:rFonts w:ascii="Arial" w:hAnsi="Arial" w:cs="Arial"/>
          <w:sz w:val="24"/>
          <w:szCs w:val="24"/>
          <w:lang w:val="en-US"/>
        </w:rPr>
        <w:t xml:space="preserve"> based on the same fact sheet</w:t>
      </w:r>
      <w:r w:rsidR="00107552" w:rsidRPr="00A757AD">
        <w:rPr>
          <w:rFonts w:ascii="Arial" w:hAnsi="Arial" w:cs="Arial"/>
          <w:sz w:val="24"/>
          <w:szCs w:val="24"/>
          <w:lang w:val="en-US"/>
        </w:rPr>
        <w:t xml:space="preserve">. </w:t>
      </w:r>
      <w:r w:rsidR="00B446BF" w:rsidRPr="00A757AD">
        <w:rPr>
          <w:rFonts w:ascii="Arial" w:hAnsi="Arial" w:cs="Arial"/>
          <w:sz w:val="24"/>
          <w:szCs w:val="24"/>
          <w:lang w:val="en-US"/>
        </w:rPr>
        <w:t xml:space="preserve">The project ideas thus collected will be grouped by policy sectors in a long, broad list. </w:t>
      </w:r>
      <w:r w:rsidR="00B446BF" w:rsidRPr="00A757AD">
        <w:rPr>
          <w:rFonts w:ascii="Arial" w:hAnsi="Arial" w:cs="Arial"/>
          <w:sz w:val="24"/>
          <w:szCs w:val="24"/>
          <w:lang w:val="en-US"/>
        </w:rPr>
        <w:lastRenderedPageBreak/>
        <w:t xml:space="preserve">This list will be </w:t>
      </w:r>
      <w:r w:rsidR="00A757AD">
        <w:rPr>
          <w:rFonts w:ascii="Arial" w:hAnsi="Arial" w:cs="Arial"/>
          <w:sz w:val="24"/>
          <w:szCs w:val="24"/>
          <w:lang w:val="en-US"/>
        </w:rPr>
        <w:t xml:space="preserve">assessed and </w:t>
      </w:r>
      <w:r w:rsidR="00B446BF" w:rsidRPr="00A757AD">
        <w:rPr>
          <w:rFonts w:ascii="Arial" w:hAnsi="Arial" w:cs="Arial"/>
          <w:sz w:val="24"/>
          <w:szCs w:val="24"/>
          <w:lang w:val="en-US"/>
        </w:rPr>
        <w:t>filtered</w:t>
      </w:r>
      <w:r w:rsidR="00A757AD">
        <w:rPr>
          <w:rFonts w:ascii="Arial" w:hAnsi="Arial" w:cs="Arial"/>
          <w:sz w:val="24"/>
          <w:szCs w:val="24"/>
          <w:lang w:val="en-US"/>
        </w:rPr>
        <w:t xml:space="preserve"> </w:t>
      </w:r>
      <w:r w:rsidR="00B446BF" w:rsidRPr="00A757AD">
        <w:rPr>
          <w:rFonts w:ascii="Arial" w:hAnsi="Arial" w:cs="Arial"/>
          <w:sz w:val="24"/>
          <w:szCs w:val="24"/>
          <w:lang w:val="en-US"/>
        </w:rPr>
        <w:t>down</w:t>
      </w:r>
      <w:r w:rsidR="00B446BF">
        <w:rPr>
          <w:rFonts w:ascii="Arial" w:hAnsi="Arial" w:cs="Arial"/>
          <w:sz w:val="24"/>
          <w:szCs w:val="24"/>
          <w:lang w:val="en-US"/>
        </w:rPr>
        <w:t xml:space="preserve"> three times as illustrated in the figure below:</w:t>
      </w:r>
    </w:p>
    <w:p w:rsidR="00B446BF" w:rsidRDefault="00B446BF" w:rsidP="00316F9D">
      <w:pPr>
        <w:spacing w:after="0" w:line="240" w:lineRule="auto"/>
        <w:jc w:val="both"/>
        <w:rPr>
          <w:rFonts w:ascii="Arial" w:hAnsi="Arial" w:cs="Arial"/>
          <w:sz w:val="24"/>
          <w:szCs w:val="24"/>
          <w:lang w:val="en-US"/>
        </w:rPr>
      </w:pPr>
    </w:p>
    <w:p w:rsidR="00B446BF" w:rsidRDefault="00B446BF" w:rsidP="00316F9D">
      <w:pPr>
        <w:spacing w:after="0" w:line="240" w:lineRule="auto"/>
        <w:jc w:val="both"/>
        <w:rPr>
          <w:rFonts w:ascii="Arial" w:hAnsi="Arial" w:cs="Arial"/>
          <w:sz w:val="24"/>
          <w:szCs w:val="24"/>
          <w:lang w:val="en-US"/>
        </w:rPr>
      </w:pPr>
      <w:r>
        <w:rPr>
          <w:noProof/>
          <w:lang w:val="en-US"/>
        </w:rPr>
        <w:drawing>
          <wp:inline distT="0" distB="0" distL="0" distR="0">
            <wp:extent cx="5731510" cy="301865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167" t="26410" r="13942" b="25641"/>
                    <a:stretch>
                      <a:fillRect/>
                    </a:stretch>
                  </pic:blipFill>
                  <pic:spPr bwMode="auto">
                    <a:xfrm>
                      <a:off x="0" y="0"/>
                      <a:ext cx="5731510" cy="3018657"/>
                    </a:xfrm>
                    <a:prstGeom prst="rect">
                      <a:avLst/>
                    </a:prstGeom>
                    <a:noFill/>
                    <a:ln w="9525">
                      <a:noFill/>
                      <a:miter lim="800000"/>
                      <a:headEnd/>
                      <a:tailEnd/>
                    </a:ln>
                  </pic:spPr>
                </pic:pic>
              </a:graphicData>
            </a:graphic>
          </wp:inline>
        </w:drawing>
      </w:r>
    </w:p>
    <w:p w:rsidR="00B446BF" w:rsidRPr="0001275E" w:rsidRDefault="00B446BF" w:rsidP="0001275E">
      <w:pPr>
        <w:spacing w:after="0" w:line="240" w:lineRule="auto"/>
        <w:jc w:val="both"/>
        <w:rPr>
          <w:rFonts w:ascii="Arial" w:hAnsi="Arial" w:cs="Arial"/>
          <w:sz w:val="24"/>
          <w:szCs w:val="24"/>
          <w:lang w:val="en-US"/>
        </w:rPr>
      </w:pPr>
    </w:p>
    <w:p w:rsidR="0001275E" w:rsidRPr="0001275E" w:rsidRDefault="0001275E" w:rsidP="0001275E">
      <w:pPr>
        <w:pStyle w:val="Default"/>
        <w:jc w:val="both"/>
        <w:rPr>
          <w:rFonts w:ascii="Arial" w:hAnsi="Arial" w:cs="Arial"/>
        </w:rPr>
      </w:pPr>
      <w:r w:rsidRPr="00A757AD">
        <w:rPr>
          <w:rFonts w:ascii="Arial" w:hAnsi="Arial" w:cs="Arial"/>
        </w:rPr>
        <w:t xml:space="preserve">The OSs, with the assistance of the JTS, </w:t>
      </w:r>
      <w:r w:rsidR="00047A69" w:rsidRPr="00A757AD">
        <w:rPr>
          <w:rFonts w:ascii="Arial" w:hAnsi="Arial" w:cs="Arial"/>
        </w:rPr>
        <w:t xml:space="preserve">will </w:t>
      </w:r>
      <w:r w:rsidRPr="00A757AD">
        <w:rPr>
          <w:rFonts w:ascii="Arial" w:hAnsi="Arial" w:cs="Arial"/>
        </w:rPr>
        <w:t>check whether the projects include all those pieces of information which would make them</w:t>
      </w:r>
      <w:r>
        <w:rPr>
          <w:rFonts w:ascii="Arial" w:hAnsi="Arial" w:cs="Arial"/>
        </w:rPr>
        <w:t xml:space="preserve"> administratively compliant and eligible for selection, that is, whether the projects fall under the t</w:t>
      </w:r>
      <w:r w:rsidRPr="0001275E">
        <w:rPr>
          <w:rFonts w:ascii="Arial" w:hAnsi="Arial" w:cs="Arial"/>
        </w:rPr>
        <w:t>hematic priorities</w:t>
      </w:r>
      <w:r>
        <w:rPr>
          <w:rFonts w:ascii="Arial" w:hAnsi="Arial" w:cs="Arial"/>
        </w:rPr>
        <w:t xml:space="preserve"> and</w:t>
      </w:r>
      <w:r w:rsidRPr="0001275E">
        <w:rPr>
          <w:rFonts w:ascii="Arial" w:hAnsi="Arial" w:cs="Arial"/>
        </w:rPr>
        <w:t xml:space="preserve"> specific objectives agreed. </w:t>
      </w:r>
      <w:r>
        <w:rPr>
          <w:rFonts w:ascii="Arial" w:hAnsi="Arial" w:cs="Arial"/>
        </w:rPr>
        <w:t>Following this sort of</w:t>
      </w:r>
      <w:r w:rsidRPr="0001275E">
        <w:rPr>
          <w:rFonts w:ascii="Arial" w:hAnsi="Arial" w:cs="Arial"/>
        </w:rPr>
        <w:t xml:space="preserve"> administrative and eligibility check step, the OS</w:t>
      </w:r>
      <w:r>
        <w:rPr>
          <w:rFonts w:ascii="Arial" w:hAnsi="Arial" w:cs="Arial"/>
        </w:rPr>
        <w:t>s</w:t>
      </w:r>
      <w:r w:rsidRPr="0001275E">
        <w:rPr>
          <w:rFonts w:ascii="Arial" w:hAnsi="Arial" w:cs="Arial"/>
        </w:rPr>
        <w:t xml:space="preserve"> will have to carry out the verification of the submitted info/data, for each project. Finally the OS</w:t>
      </w:r>
      <w:r>
        <w:rPr>
          <w:rFonts w:ascii="Arial" w:hAnsi="Arial" w:cs="Arial"/>
        </w:rPr>
        <w:t>s</w:t>
      </w:r>
      <w:r w:rsidRPr="0001275E">
        <w:rPr>
          <w:rFonts w:ascii="Arial" w:hAnsi="Arial" w:cs="Arial"/>
        </w:rPr>
        <w:t xml:space="preserve"> will check the complementarity and sustainability (contribution to strategies</w:t>
      </w:r>
      <w:r>
        <w:rPr>
          <w:rFonts w:ascii="Arial" w:hAnsi="Arial" w:cs="Arial"/>
        </w:rPr>
        <w:t xml:space="preserve"> at different levels from macro-regional to local</w:t>
      </w:r>
      <w:r w:rsidRPr="0001275E">
        <w:rPr>
          <w:rFonts w:ascii="Arial" w:hAnsi="Arial" w:cs="Arial"/>
        </w:rPr>
        <w:t>), as well as the potential impact of the project in the eligible area.</w:t>
      </w:r>
    </w:p>
    <w:p w:rsidR="0001275E" w:rsidRPr="0001275E" w:rsidRDefault="0001275E" w:rsidP="0001275E">
      <w:pPr>
        <w:spacing w:after="0" w:line="240" w:lineRule="auto"/>
        <w:jc w:val="both"/>
        <w:rPr>
          <w:rFonts w:ascii="Arial" w:hAnsi="Arial" w:cs="Arial"/>
          <w:sz w:val="24"/>
          <w:szCs w:val="24"/>
          <w:lang w:val="en-US"/>
        </w:rPr>
      </w:pPr>
    </w:p>
    <w:p w:rsidR="00E26DE4" w:rsidRDefault="00707D5C" w:rsidP="007A032F">
      <w:pPr>
        <w:spacing w:after="0" w:line="240" w:lineRule="auto"/>
        <w:jc w:val="both"/>
        <w:rPr>
          <w:rFonts w:ascii="Arial" w:hAnsi="Arial" w:cs="Arial"/>
          <w:sz w:val="24"/>
          <w:szCs w:val="24"/>
        </w:rPr>
      </w:pPr>
      <w:r>
        <w:rPr>
          <w:rFonts w:ascii="Arial" w:hAnsi="Arial" w:cs="Arial"/>
          <w:sz w:val="24"/>
          <w:szCs w:val="24"/>
          <w:lang w:val="en-US"/>
        </w:rPr>
        <w:t>Following the perusal of the returned questionnaires</w:t>
      </w:r>
      <w:r w:rsidR="00E26DE4">
        <w:rPr>
          <w:rFonts w:ascii="Arial" w:hAnsi="Arial" w:cs="Arial"/>
          <w:sz w:val="24"/>
          <w:szCs w:val="24"/>
          <w:lang w:val="en-US"/>
        </w:rPr>
        <w:t xml:space="preserve"> </w:t>
      </w:r>
      <w:r w:rsidR="00E26DE4" w:rsidRPr="00E26DE4">
        <w:rPr>
          <w:rFonts w:ascii="Arial" w:hAnsi="Arial" w:cs="Arial"/>
          <w:sz w:val="24"/>
          <w:szCs w:val="24"/>
          <w:lang w:val="en-US"/>
        </w:rPr>
        <w:t xml:space="preserve">and </w:t>
      </w:r>
      <w:r w:rsidR="00E577B3">
        <w:rPr>
          <w:rFonts w:ascii="Arial" w:hAnsi="Arial" w:cs="Arial"/>
          <w:sz w:val="24"/>
          <w:szCs w:val="24"/>
          <w:lang w:val="en-US"/>
        </w:rPr>
        <w:t xml:space="preserve">the application of the three rounds of filters, the shortlisted ideas will be ranked in accordance with the </w:t>
      </w:r>
      <w:r w:rsidR="00FF64A3">
        <w:rPr>
          <w:rFonts w:ascii="Arial" w:hAnsi="Arial" w:cs="Arial"/>
          <w:sz w:val="24"/>
          <w:szCs w:val="24"/>
          <w:lang w:val="en-US"/>
        </w:rPr>
        <w:t xml:space="preserve">scores yielded by </w:t>
      </w:r>
      <w:r w:rsidR="00FF64A3" w:rsidRPr="00A757AD">
        <w:rPr>
          <w:rFonts w:ascii="Arial" w:hAnsi="Arial" w:cs="Arial"/>
          <w:sz w:val="24"/>
          <w:szCs w:val="24"/>
          <w:lang w:val="en-US"/>
        </w:rPr>
        <w:t xml:space="preserve">the </w:t>
      </w:r>
      <w:r w:rsidR="00E577B3" w:rsidRPr="00A757AD">
        <w:rPr>
          <w:rFonts w:ascii="Arial" w:hAnsi="Arial" w:cs="Arial"/>
          <w:sz w:val="24"/>
          <w:szCs w:val="24"/>
          <w:lang w:val="en-US"/>
        </w:rPr>
        <w:t>criteria displayed in the table within</w:t>
      </w:r>
      <w:r w:rsidR="002C3E64" w:rsidRPr="00A757AD">
        <w:rPr>
          <w:rFonts w:ascii="Arial" w:hAnsi="Arial" w:cs="Arial"/>
          <w:sz w:val="24"/>
          <w:szCs w:val="24"/>
          <w:lang w:val="en-US"/>
        </w:rPr>
        <w:t xml:space="preserve"> annex 1</w:t>
      </w:r>
      <w:r w:rsidR="00E577B3" w:rsidRPr="00A757AD">
        <w:rPr>
          <w:rFonts w:ascii="Arial" w:hAnsi="Arial" w:cs="Arial"/>
          <w:sz w:val="24"/>
          <w:szCs w:val="24"/>
          <w:lang w:val="en-US"/>
        </w:rPr>
        <w:t xml:space="preserve">. </w:t>
      </w:r>
      <w:r w:rsidR="00FF64A3" w:rsidRPr="00A757AD">
        <w:rPr>
          <w:rFonts w:ascii="Arial" w:hAnsi="Arial" w:cs="Arial"/>
          <w:sz w:val="24"/>
          <w:szCs w:val="24"/>
          <w:lang w:val="en-US"/>
        </w:rPr>
        <w:t>The</w:t>
      </w:r>
      <w:r w:rsidR="007A032F" w:rsidRPr="00E26DE4">
        <w:rPr>
          <w:rFonts w:ascii="Arial" w:hAnsi="Arial" w:cs="Arial"/>
          <w:sz w:val="24"/>
          <w:szCs w:val="24"/>
        </w:rPr>
        <w:t xml:space="preserve"> </w:t>
      </w:r>
      <w:r w:rsidR="00FF64A3">
        <w:rPr>
          <w:rFonts w:ascii="Arial" w:hAnsi="Arial" w:cs="Arial"/>
          <w:sz w:val="24"/>
          <w:szCs w:val="24"/>
        </w:rPr>
        <w:t xml:space="preserve">selection </w:t>
      </w:r>
      <w:r w:rsidR="007A032F" w:rsidRPr="00E26DE4">
        <w:rPr>
          <w:rFonts w:ascii="Arial" w:hAnsi="Arial" w:cs="Arial"/>
          <w:sz w:val="24"/>
          <w:szCs w:val="24"/>
        </w:rPr>
        <w:t xml:space="preserve">criteria </w:t>
      </w:r>
      <w:r w:rsidR="00FF64A3">
        <w:rPr>
          <w:rFonts w:ascii="Arial" w:hAnsi="Arial" w:cs="Arial"/>
          <w:sz w:val="24"/>
          <w:szCs w:val="24"/>
        </w:rPr>
        <w:t>are as follows:</w:t>
      </w:r>
    </w:p>
    <w:p w:rsidR="00FF64A3" w:rsidRDefault="00FF64A3" w:rsidP="007A032F">
      <w:pPr>
        <w:spacing w:after="0" w:line="240" w:lineRule="auto"/>
        <w:jc w:val="both"/>
        <w:rPr>
          <w:rFonts w:ascii="Arial" w:hAnsi="Arial" w:cs="Arial"/>
          <w:sz w:val="24"/>
          <w:szCs w:val="24"/>
        </w:rPr>
      </w:pPr>
    </w:p>
    <w:p w:rsidR="00E26DE4" w:rsidRDefault="004B737E" w:rsidP="00E26DE4">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 xml:space="preserve">CBC </w:t>
      </w:r>
      <w:r w:rsidR="007A032F" w:rsidRPr="00E26DE4">
        <w:rPr>
          <w:rFonts w:ascii="Arial" w:hAnsi="Arial" w:cs="Arial"/>
          <w:sz w:val="24"/>
          <w:szCs w:val="24"/>
        </w:rPr>
        <w:t>impact on both sides of the programme area</w:t>
      </w:r>
      <w:r w:rsidR="00E26DE4" w:rsidRPr="00E26DE4">
        <w:rPr>
          <w:rFonts w:ascii="Arial" w:hAnsi="Arial" w:cs="Arial"/>
          <w:sz w:val="24"/>
          <w:szCs w:val="24"/>
        </w:rPr>
        <w:t xml:space="preserve">, that is the </w:t>
      </w:r>
      <w:r w:rsidR="007A032F" w:rsidRPr="00E26DE4">
        <w:rPr>
          <w:rFonts w:ascii="Arial" w:hAnsi="Arial" w:cs="Arial"/>
          <w:sz w:val="24"/>
          <w:szCs w:val="24"/>
        </w:rPr>
        <w:t xml:space="preserve">CBC dimension; </w:t>
      </w:r>
    </w:p>
    <w:p w:rsidR="004B737E" w:rsidRDefault="004B737E" w:rsidP="004B737E">
      <w:pPr>
        <w:pStyle w:val="ListParagraph"/>
        <w:numPr>
          <w:ilvl w:val="0"/>
          <w:numId w:val="45"/>
        </w:numPr>
        <w:spacing w:after="0" w:line="240" w:lineRule="auto"/>
        <w:jc w:val="both"/>
        <w:rPr>
          <w:rFonts w:ascii="Arial" w:hAnsi="Arial" w:cs="Arial"/>
          <w:sz w:val="24"/>
          <w:szCs w:val="24"/>
        </w:rPr>
      </w:pPr>
      <w:r w:rsidRPr="00E26DE4">
        <w:rPr>
          <w:rFonts w:ascii="Arial" w:hAnsi="Arial" w:cs="Arial"/>
          <w:sz w:val="24"/>
          <w:szCs w:val="24"/>
        </w:rPr>
        <w:t>number of population benefiting from the intervention</w:t>
      </w:r>
      <w:r>
        <w:rPr>
          <w:rFonts w:ascii="Arial" w:hAnsi="Arial" w:cs="Arial"/>
          <w:sz w:val="24"/>
          <w:szCs w:val="24"/>
        </w:rPr>
        <w:t xml:space="preserve"> or area covered</w:t>
      </w:r>
      <w:r w:rsidRPr="00E26DE4">
        <w:rPr>
          <w:rFonts w:ascii="Arial" w:hAnsi="Arial" w:cs="Arial"/>
          <w:sz w:val="24"/>
          <w:szCs w:val="24"/>
        </w:rPr>
        <w:t xml:space="preserve">; </w:t>
      </w:r>
    </w:p>
    <w:p w:rsidR="004B737E" w:rsidRDefault="004B737E" w:rsidP="004B737E">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maturity, readiness for implementation;</w:t>
      </w:r>
    </w:p>
    <w:p w:rsidR="004B737E" w:rsidRDefault="004B737E" w:rsidP="004B737E">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relevance to thematic priorities and/or macro-regional strategies;</w:t>
      </w:r>
    </w:p>
    <w:p w:rsidR="004B737E" w:rsidRDefault="004B737E" w:rsidP="004B737E">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complementarity and sustainability (</w:t>
      </w:r>
      <w:r w:rsidRPr="00E26DE4">
        <w:rPr>
          <w:rFonts w:ascii="Arial" w:hAnsi="Arial" w:cs="Arial"/>
          <w:sz w:val="24"/>
          <w:szCs w:val="24"/>
        </w:rPr>
        <w:t>link with regional or other strategies for development of the bordering areas</w:t>
      </w:r>
      <w:r>
        <w:rPr>
          <w:rFonts w:ascii="Arial" w:hAnsi="Arial" w:cs="Arial"/>
          <w:sz w:val="24"/>
          <w:szCs w:val="24"/>
        </w:rPr>
        <w:t>)</w:t>
      </w:r>
      <w:r w:rsidRPr="00E26DE4">
        <w:rPr>
          <w:rFonts w:ascii="Arial" w:hAnsi="Arial" w:cs="Arial"/>
          <w:sz w:val="24"/>
          <w:szCs w:val="24"/>
        </w:rPr>
        <w:t>;</w:t>
      </w:r>
    </w:p>
    <w:p w:rsidR="00E26DE4" w:rsidRDefault="004B737E" w:rsidP="00E26DE4">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complexity</w:t>
      </w:r>
      <w:r w:rsidR="00047A69">
        <w:rPr>
          <w:rFonts w:ascii="Arial" w:hAnsi="Arial" w:cs="Arial"/>
          <w:sz w:val="24"/>
          <w:szCs w:val="24"/>
        </w:rPr>
        <w:t xml:space="preserve"> (if applicable)</w:t>
      </w:r>
      <w:r>
        <w:rPr>
          <w:rFonts w:ascii="Arial" w:hAnsi="Arial" w:cs="Arial"/>
          <w:sz w:val="24"/>
          <w:szCs w:val="24"/>
        </w:rPr>
        <w:t>;</w:t>
      </w:r>
    </w:p>
    <w:p w:rsidR="004B737E" w:rsidRDefault="004B737E" w:rsidP="004B737E">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cost-</w:t>
      </w:r>
      <w:r w:rsidRPr="00E26DE4">
        <w:rPr>
          <w:rFonts w:ascii="Arial" w:hAnsi="Arial" w:cs="Arial"/>
          <w:sz w:val="24"/>
          <w:szCs w:val="24"/>
        </w:rPr>
        <w:t>effectiveness</w:t>
      </w:r>
      <w:r>
        <w:rPr>
          <w:rFonts w:ascii="Arial" w:hAnsi="Arial" w:cs="Arial"/>
          <w:sz w:val="24"/>
          <w:szCs w:val="24"/>
        </w:rPr>
        <w:t xml:space="preserve"> (value for money)</w:t>
      </w:r>
      <w:r w:rsidRPr="00E26DE4">
        <w:rPr>
          <w:rFonts w:ascii="Arial" w:hAnsi="Arial" w:cs="Arial"/>
          <w:sz w:val="24"/>
          <w:szCs w:val="24"/>
        </w:rPr>
        <w:t xml:space="preserve">; </w:t>
      </w:r>
    </w:p>
    <w:p w:rsidR="004B737E" w:rsidRDefault="00B446BF" w:rsidP="00E26DE4">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level of beneficiary financial contribution (co-financing).</w:t>
      </w:r>
    </w:p>
    <w:p w:rsidR="00E26DE4" w:rsidRDefault="00E26DE4" w:rsidP="00E26DE4">
      <w:pPr>
        <w:spacing w:after="0" w:line="240" w:lineRule="auto"/>
        <w:jc w:val="both"/>
        <w:rPr>
          <w:rFonts w:ascii="Arial" w:hAnsi="Arial" w:cs="Arial"/>
          <w:sz w:val="24"/>
          <w:szCs w:val="24"/>
        </w:rPr>
      </w:pPr>
    </w:p>
    <w:p w:rsidR="00FF64A3" w:rsidRPr="00047A69" w:rsidRDefault="00FF64A3" w:rsidP="00047A69">
      <w:pPr>
        <w:spacing w:after="0" w:line="240" w:lineRule="auto"/>
        <w:jc w:val="both"/>
        <w:rPr>
          <w:rFonts w:ascii="Arial" w:hAnsi="Arial" w:cs="Arial"/>
          <w:sz w:val="24"/>
          <w:szCs w:val="24"/>
        </w:rPr>
      </w:pPr>
      <w:r>
        <w:rPr>
          <w:rFonts w:ascii="Arial" w:hAnsi="Arial" w:cs="Arial"/>
          <w:sz w:val="24"/>
          <w:szCs w:val="24"/>
        </w:rPr>
        <w:t>The figure below describes the assessment exercise for the selection of strategic projects so far:</w:t>
      </w:r>
    </w:p>
    <w:p w:rsidR="00A757AD" w:rsidRDefault="00A757AD" w:rsidP="00FF64A3">
      <w:pPr>
        <w:jc w:val="both"/>
        <w:rPr>
          <w:rFonts w:ascii="Arial" w:hAnsi="Arial" w:cs="Arial"/>
          <w:iCs/>
          <w:sz w:val="24"/>
          <w:szCs w:val="24"/>
        </w:rPr>
      </w:pPr>
    </w:p>
    <w:p w:rsidR="00FF64A3" w:rsidRPr="00403980" w:rsidRDefault="00D25A2E" w:rsidP="00FF64A3">
      <w:pPr>
        <w:jc w:val="both"/>
        <w:rPr>
          <w:rFonts w:ascii="Arial" w:hAnsi="Arial" w:cs="Arial"/>
          <w:iCs/>
          <w:sz w:val="24"/>
          <w:szCs w:val="24"/>
        </w:rPr>
      </w:pPr>
      <w:r w:rsidRPr="00D25A2E">
        <w:rPr>
          <w:rFonts w:ascii="Arial" w:hAnsi="Arial" w:cs="Arial"/>
          <w:b/>
          <w:bCs/>
          <w:noProof/>
          <w:color w:val="4F81BD" w:themeColor="accent1"/>
          <w:sz w:val="24"/>
          <w:szCs w:val="24"/>
          <w:lang w:val="en-US"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176.8pt;margin-top:11.05pt;width:114.1pt;height:52.6pt;z-index:251659264;mso-width-relative:margin;mso-height-relative:margin" fillcolor="#4bacc6 [3208]" strokecolor="#f2f2f2 [3041]" strokeweight="3pt">
            <v:shadow on="t" type="perspective" color="#205867 [1608]" opacity=".5" offset="1pt" offset2="-1pt"/>
            <v:textbox style="mso-next-textbox:#_x0000_s1026">
              <w:txbxContent>
                <w:p w:rsidR="003B21EA" w:rsidRPr="00403980" w:rsidRDefault="003B21EA" w:rsidP="00FF64A3">
                  <w:pPr>
                    <w:jc w:val="center"/>
                    <w:rPr>
                      <w:lang w:val="en-US"/>
                    </w:rPr>
                  </w:pPr>
                  <w:r>
                    <w:rPr>
                      <w:lang w:val="en-US"/>
                    </w:rPr>
                    <w:t>Targeted call, projects from line Ministries</w:t>
                  </w:r>
                </w:p>
              </w:txbxContent>
            </v:textbox>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232.5pt;margin-top:10.15pt;width:7.15pt;height:27.4pt;z-index:251670528">
            <v:textbox style="layout-flow:vertical-ideographic"/>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eastAsia="zh-TW"/>
        </w:rPr>
        <w:pict>
          <v:shape id="_x0000_s1027" type="#_x0000_t202" style="position:absolute;margin-left:178.05pt;margin-top:5.9pt;width:113pt;height:66.55pt;z-index:251660288;mso-height-percent:200;mso-height-percent:200;mso-width-relative:margin;mso-height-relative:margin" fillcolor="#f79646 [3209]" strokecolor="#f2f2f2 [3041]" strokeweight="3pt">
            <v:shadow on="t" type="perspective" color="#974706 [1609]" opacity=".5" offset="1pt" offset2="-1pt"/>
            <v:textbox style="mso-next-textbox:#_x0000_s1027;mso-fit-shape-to-text:t">
              <w:txbxContent>
                <w:p w:rsidR="003B21EA" w:rsidRPr="00403980" w:rsidRDefault="003B21EA" w:rsidP="00FF64A3">
                  <w:pPr>
                    <w:jc w:val="center"/>
                    <w:rPr>
                      <w:lang w:val="en-US"/>
                    </w:rPr>
                  </w:pPr>
                  <w:r>
                    <w:rPr>
                      <w:lang w:val="en-US"/>
                    </w:rPr>
                    <w:t>Broad list of potential strategic projects</w:t>
                  </w:r>
                </w:p>
              </w:txbxContent>
            </v:textbox>
          </v:shape>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138.95pt;margin-top:10.85pt;width:40.9pt;height:7.15pt;z-index:251673600"/>
        </w:pict>
      </w:r>
      <w:r>
        <w:rPr>
          <w:rFonts w:ascii="Arial" w:hAnsi="Arial" w:cs="Arial"/>
          <w:b/>
          <w:bCs/>
          <w:noProof/>
          <w:color w:val="4F81BD" w:themeColor="accent1"/>
          <w:sz w:val="24"/>
          <w:szCs w:val="24"/>
          <w:lang w:val="en-US" w:eastAsia="zh-TW"/>
        </w:rPr>
        <w:pict>
          <v:shape id="_x0000_s1028" type="#_x0000_t202" style="position:absolute;margin-left:25.45pt;margin-top:2.45pt;width:109.5pt;height:21.8pt;z-index:251661312;mso-width-relative:margin;mso-height-relative:margin" fillcolor="#9bbb59 [3206]" strokecolor="#f2f2f2 [3041]" strokeweight="3pt">
            <v:shadow on="t" type="perspective" color="#4e6128 [1606]" opacity=".5" offset="1pt" offset2="-1pt"/>
            <v:textbox style="mso-next-textbox:#_x0000_s1028">
              <w:txbxContent>
                <w:p w:rsidR="003B21EA" w:rsidRDefault="003B21EA" w:rsidP="00FF64A3">
                  <w:r>
                    <w:t>Administrative check</w:t>
                  </w:r>
                </w:p>
              </w:txbxContent>
            </v:textbox>
          </v:shape>
        </w:pict>
      </w:r>
      <w:r>
        <w:rPr>
          <w:rFonts w:ascii="Arial" w:hAnsi="Arial" w:cs="Arial"/>
          <w:b/>
          <w:bCs/>
          <w:noProof/>
          <w:color w:val="4F81BD" w:themeColor="accent1"/>
          <w:sz w:val="24"/>
          <w:szCs w:val="24"/>
          <w:lang w:val="en-US"/>
        </w:rPr>
        <w:pict>
          <v:shape id="_x0000_s1030" type="#_x0000_t202" style="position:absolute;margin-left:339.35pt;margin-top:2.45pt;width:109.5pt;height:38pt;z-index:251663360;mso-width-relative:margin;mso-height-relative:margin" fillcolor="#9bbb59 [3206]" strokecolor="#f2f2f2 [3041]" strokeweight="3pt">
            <v:shadow on="t" type="perspective" color="#4e6128 [1606]" opacity=".5" offset="1pt" offset2="-1pt"/>
            <v:textbox style="mso-next-textbox:#_x0000_s1030">
              <w:txbxContent>
                <w:p w:rsidR="003B21EA" w:rsidRPr="00403980" w:rsidRDefault="003B21EA" w:rsidP="00FF64A3">
                  <w:pPr>
                    <w:jc w:val="center"/>
                    <w:rPr>
                      <w:lang w:val="en-US"/>
                    </w:rPr>
                  </w:pPr>
                  <w:r>
                    <w:rPr>
                      <w:lang w:val="en-US"/>
                    </w:rPr>
                    <w:t>Verification of project info/data</w:t>
                  </w:r>
                </w:p>
              </w:txbxContent>
            </v:textbox>
          </v:shape>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9" type="#_x0000_t66" style="position:absolute;margin-left:299.9pt;margin-top:4.2pt;width:37.2pt;height:7.15pt;z-index:251672576"/>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1" type="#_x0000_t13" style="position:absolute;margin-left:138.95pt;margin-top:12.85pt;width:40.9pt;height:7.15pt;z-index:251674624"/>
        </w:pict>
      </w:r>
      <w:r>
        <w:rPr>
          <w:rFonts w:ascii="Arial" w:hAnsi="Arial" w:cs="Arial"/>
          <w:b/>
          <w:bCs/>
          <w:noProof/>
          <w:color w:val="4F81BD" w:themeColor="accent1"/>
          <w:sz w:val="24"/>
          <w:szCs w:val="24"/>
          <w:lang w:val="en-US"/>
        </w:rPr>
        <w:pict>
          <v:shape id="_x0000_s1029" type="#_x0000_t202" style="position:absolute;margin-left:25.45pt;margin-top:6.6pt;width:109.5pt;height:21.8pt;z-index:251662336;mso-width-relative:margin;mso-height-relative:margin" fillcolor="#9bbb59 [3206]" strokecolor="#f2f2f2 [3041]" strokeweight="3pt">
            <v:shadow on="t" type="perspective" color="#4e6128 [1606]" opacity=".5" offset="1pt" offset2="-1pt"/>
            <v:textbox style="mso-next-textbox:#_x0000_s1029">
              <w:txbxContent>
                <w:p w:rsidR="003B21EA" w:rsidRDefault="003B21EA" w:rsidP="00FF64A3">
                  <w:r>
                    <w:t>Eligibility check</w:t>
                  </w:r>
                </w:p>
              </w:txbxContent>
            </v:textbox>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8" type="#_x0000_t67" style="position:absolute;margin-left:232.5pt;margin-top:10pt;width:7.15pt;height:18.75pt;z-index:251671552">
            <v:textbox style="layout-flow:vertical-ideographic"/>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oval id="_x0000_s1034" style="position:absolute;margin-left:66.75pt;margin-top:1.15pt;width:345.75pt;height:60pt;z-index:251667456" filled="f" fillcolor="white [3201]" strokecolor="#4bacc6 [3208]" strokeweight="2.5pt">
            <v:shadow color="#868686"/>
          </v:oval>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3" type="#_x0000_t202" style="position:absolute;margin-left:295.15pt;margin-top:6.1pt;width:98.7pt;height:21.8pt;z-index:251666432;mso-width-relative:margin;mso-height-relative:margin">
            <v:textbox style="mso-next-textbox:#_x0000_s1033">
              <w:txbxContent>
                <w:p w:rsidR="003B21EA" w:rsidRPr="00403980" w:rsidRDefault="003B21EA" w:rsidP="00FF64A3">
                  <w:pPr>
                    <w:rPr>
                      <w:lang w:val="en-US"/>
                    </w:rPr>
                  </w:pPr>
                  <w:r>
                    <w:rPr>
                      <w:lang w:val="en-US"/>
                    </w:rPr>
                    <w:t>Weight (1 or 1.5)</w:t>
                  </w:r>
                </w:p>
              </w:txbxContent>
            </v:textbox>
          </v:shape>
        </w:pict>
      </w:r>
      <w:r>
        <w:rPr>
          <w:rFonts w:ascii="Arial" w:hAnsi="Arial" w:cs="Arial"/>
          <w:b/>
          <w:bCs/>
          <w:noProof/>
          <w:color w:val="4F81BD" w:themeColor="accent1"/>
          <w:sz w:val="24"/>
          <w:szCs w:val="24"/>
          <w:lang w:val="en-US"/>
        </w:rPr>
        <w:pict>
          <v:shape id="_x0000_s1032" type="#_x0000_t202" style="position:absolute;margin-left:192.35pt;margin-top:6.1pt;width:76.15pt;height:21.8pt;z-index:251665408;mso-width-relative:margin;mso-height-relative:margin">
            <v:textbox style="mso-next-textbox:#_x0000_s1032">
              <w:txbxContent>
                <w:p w:rsidR="003B21EA" w:rsidRPr="00403980" w:rsidRDefault="003B21EA" w:rsidP="00FF64A3">
                  <w:pPr>
                    <w:rPr>
                      <w:lang w:val="en-US"/>
                    </w:rPr>
                  </w:pPr>
                  <w:r>
                    <w:rPr>
                      <w:lang w:val="en-US"/>
                    </w:rPr>
                    <w:t>Scores (1-5)</w:t>
                  </w:r>
                </w:p>
              </w:txbxContent>
            </v:textbox>
          </v:shape>
        </w:pict>
      </w:r>
      <w:r>
        <w:rPr>
          <w:rFonts w:ascii="Arial" w:hAnsi="Arial" w:cs="Arial"/>
          <w:b/>
          <w:bCs/>
          <w:noProof/>
          <w:color w:val="4F81BD" w:themeColor="accent1"/>
          <w:sz w:val="24"/>
          <w:szCs w:val="24"/>
          <w:lang w:val="en-US"/>
        </w:rPr>
        <w:pict>
          <v:shape id="_x0000_s1031" type="#_x0000_t202" style="position:absolute;margin-left:85.2pt;margin-top:6.1pt;width:77.8pt;height:21.8pt;z-index:251664384;mso-width-relative:margin;mso-height-relative:margin">
            <v:textbox style="mso-next-textbox:#_x0000_s1031">
              <w:txbxContent>
                <w:p w:rsidR="003B21EA" w:rsidRPr="00403980" w:rsidRDefault="003B21EA" w:rsidP="00FF64A3">
                  <w:pPr>
                    <w:rPr>
                      <w:lang w:val="en-US"/>
                    </w:rPr>
                  </w:pPr>
                  <w:r>
                    <w:rPr>
                      <w:lang w:val="en-US"/>
                    </w:rPr>
                    <w:t>Criteria (8)</w:t>
                  </w:r>
                </w:p>
              </w:txbxContent>
            </v:textbox>
          </v:shape>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3" type="#_x0000_t13" style="position:absolute;margin-left:265.8pt;margin-top:-.2pt;width:29.35pt;height:9.8pt;z-index:251676672"/>
        </w:pict>
      </w:r>
      <w:r>
        <w:rPr>
          <w:rFonts w:ascii="Arial" w:hAnsi="Arial" w:cs="Arial"/>
          <w:b/>
          <w:bCs/>
          <w:noProof/>
          <w:color w:val="4F81BD" w:themeColor="accent1"/>
          <w:sz w:val="24"/>
          <w:szCs w:val="24"/>
          <w:lang w:val="en-US"/>
        </w:rPr>
        <w:pict>
          <v:shape id="_x0000_s1042" type="#_x0000_t13" style="position:absolute;margin-left:163pt;margin-top:-.2pt;width:29.35pt;height:9.8pt;z-index:251675648"/>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4" type="#_x0000_t67" style="position:absolute;margin-left:232.5pt;margin-top:5.95pt;width:7.15pt;height:26.2pt;z-index:251677696">
            <v:textbox style="layout-flow:vertical-ideographic"/>
          </v:shape>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6" type="#_x0000_t202" style="position:absolute;margin-left:299.9pt;margin-top:10.9pt;width:81.85pt;height:38.25pt;z-index:251669504;mso-width-relative:margin;mso-height-relative:margin" fillcolor="#f79646 [3209]" strokecolor="#f2f2f2 [3041]" strokeweight="3pt">
            <v:shadow on="t" type="perspective" color="#974706 [1609]" opacity=".5" offset="1pt" offset2="-1pt"/>
            <v:textbox style="mso-next-textbox:#_x0000_s1036">
              <w:txbxContent>
                <w:p w:rsidR="003B21EA" w:rsidRPr="007A17E3" w:rsidRDefault="003B21EA" w:rsidP="00FF64A3">
                  <w:pPr>
                    <w:jc w:val="center"/>
                    <w:rPr>
                      <w:lang w:val="en-US"/>
                    </w:rPr>
                  </w:pPr>
                  <w:r>
                    <w:rPr>
                      <w:lang w:val="en-US"/>
                    </w:rPr>
                    <w:t>Ranking list of projects</w:t>
                  </w:r>
                </w:p>
              </w:txbxContent>
            </v:textbox>
          </v:shape>
        </w:pict>
      </w:r>
    </w:p>
    <w:p w:rsidR="00FF64A3" w:rsidRDefault="00D25A2E"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5" type="#_x0000_t202" style="position:absolute;margin-left:189.7pt;margin-top:4.55pt;width:78.8pt;height:21.8pt;z-index:251668480;mso-width-relative:margin;mso-height-relative:margin">
            <v:textbox style="mso-next-textbox:#_x0000_s1035">
              <w:txbxContent>
                <w:p w:rsidR="003B21EA" w:rsidRPr="007A17E3" w:rsidRDefault="003B21EA" w:rsidP="00FF64A3">
                  <w:pPr>
                    <w:rPr>
                      <w:lang w:val="en-US"/>
                    </w:rPr>
                  </w:pPr>
                  <w:r>
                    <w:rPr>
                      <w:lang w:val="en-US"/>
                    </w:rPr>
                    <w:t>Total Score</w:t>
                  </w:r>
                </w:p>
              </w:txbxContent>
            </v:textbox>
          </v:shape>
        </w:pict>
      </w:r>
      <w:r>
        <w:rPr>
          <w:rFonts w:ascii="Arial" w:hAnsi="Arial" w:cs="Arial"/>
          <w:b/>
          <w:bCs/>
          <w:noProof/>
          <w:color w:val="4F81BD" w:themeColor="accent1"/>
          <w:sz w:val="24"/>
          <w:szCs w:val="24"/>
          <w:lang w:val="en-US"/>
        </w:rPr>
        <w:pict>
          <v:shape id="_x0000_s1045" type="#_x0000_t13" style="position:absolute;margin-left:268.5pt;margin-top:9.05pt;width:31.4pt;height:10.55pt;z-index:251678720"/>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E26DE4">
      <w:pPr>
        <w:spacing w:after="0" w:line="240" w:lineRule="auto"/>
        <w:jc w:val="both"/>
        <w:rPr>
          <w:rFonts w:ascii="Arial" w:hAnsi="Arial" w:cs="Arial"/>
          <w:sz w:val="24"/>
          <w:szCs w:val="24"/>
        </w:rPr>
      </w:pPr>
    </w:p>
    <w:p w:rsidR="007A032F" w:rsidRPr="00E26DE4" w:rsidRDefault="007A032F" w:rsidP="00E26DE4">
      <w:pPr>
        <w:spacing w:after="0" w:line="240" w:lineRule="auto"/>
        <w:jc w:val="both"/>
        <w:rPr>
          <w:rFonts w:ascii="Arial" w:hAnsi="Arial" w:cs="Arial"/>
          <w:sz w:val="24"/>
          <w:szCs w:val="24"/>
        </w:rPr>
      </w:pPr>
      <w:r w:rsidRPr="00E26DE4">
        <w:rPr>
          <w:rFonts w:ascii="Arial" w:hAnsi="Arial" w:cs="Arial"/>
          <w:sz w:val="24"/>
          <w:szCs w:val="24"/>
        </w:rPr>
        <w:t>Furthermore, these projects must have a complete tender documentation and, in case of infrastructure investments, apart from the necessary environmental impact assessments, all the necessary permits for location and construction.</w:t>
      </w:r>
    </w:p>
    <w:p w:rsidR="007A032F" w:rsidRDefault="007A032F" w:rsidP="00316F9D">
      <w:pPr>
        <w:spacing w:after="0" w:line="240" w:lineRule="auto"/>
        <w:jc w:val="both"/>
        <w:rPr>
          <w:rFonts w:ascii="Arial" w:hAnsi="Arial" w:cs="Arial"/>
          <w:sz w:val="24"/>
          <w:szCs w:val="24"/>
          <w:lang w:val="en-US"/>
        </w:rPr>
      </w:pPr>
    </w:p>
    <w:p w:rsidR="009E637C" w:rsidRDefault="00AA3189"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The OSs must be convinced that the beneficiaries technically possess everything necessary to tender services, supplies and/or works with no killing assumptions that could jeopardise the feasibility of the operation. In the case of infrastructural or construction works, the OSs must certify that the beneficiaries have: </w:t>
      </w:r>
    </w:p>
    <w:p w:rsidR="00AA3189" w:rsidRPr="00BC68F7" w:rsidRDefault="00AA3189" w:rsidP="00BC68F7">
      <w:pPr>
        <w:spacing w:after="0" w:line="240" w:lineRule="auto"/>
        <w:jc w:val="both"/>
        <w:rPr>
          <w:rFonts w:ascii="Arial" w:hAnsi="Arial" w:cs="Arial"/>
          <w:sz w:val="24"/>
          <w:szCs w:val="24"/>
          <w:lang w:val="en-US"/>
        </w:rPr>
      </w:pPr>
    </w:p>
    <w:p w:rsidR="00AA3189" w:rsidRDefault="00AA3189" w:rsidP="00BC68F7">
      <w:pPr>
        <w:numPr>
          <w:ilvl w:val="0"/>
          <w:numId w:val="33"/>
        </w:numPr>
        <w:spacing w:after="0" w:line="240" w:lineRule="auto"/>
        <w:jc w:val="both"/>
        <w:rPr>
          <w:rFonts w:ascii="Arial" w:hAnsi="Arial" w:cs="Arial"/>
          <w:sz w:val="24"/>
          <w:szCs w:val="24"/>
        </w:rPr>
      </w:pPr>
      <w:r w:rsidRPr="00BC68F7">
        <w:rPr>
          <w:rFonts w:ascii="Arial" w:hAnsi="Arial" w:cs="Arial"/>
          <w:sz w:val="24"/>
          <w:szCs w:val="24"/>
          <w:u w:val="single"/>
        </w:rPr>
        <w:t>Proof of ownership or long term lease</w:t>
      </w:r>
      <w:r w:rsidRPr="00BC68F7">
        <w:rPr>
          <w:rFonts w:ascii="Arial" w:hAnsi="Arial" w:cs="Arial"/>
          <w:sz w:val="24"/>
          <w:szCs w:val="24"/>
        </w:rPr>
        <w:t xml:space="preserve"> (at least for 10 years aft</w:t>
      </w:r>
      <w:r w:rsidR="00BC68F7">
        <w:rPr>
          <w:rFonts w:ascii="Arial" w:hAnsi="Arial" w:cs="Arial"/>
          <w:sz w:val="24"/>
          <w:szCs w:val="24"/>
        </w:rPr>
        <w:t>er the start of the operation</w:t>
      </w:r>
      <w:r w:rsidRPr="00BC68F7">
        <w:rPr>
          <w:rFonts w:ascii="Arial" w:hAnsi="Arial" w:cs="Arial"/>
          <w:sz w:val="24"/>
          <w:szCs w:val="24"/>
        </w:rPr>
        <w:t>) of the land/assets where the works are to be executed;</w:t>
      </w:r>
    </w:p>
    <w:p w:rsidR="00BC68F7" w:rsidRPr="00BC68F7" w:rsidRDefault="00BC68F7" w:rsidP="00BC68F7">
      <w:pPr>
        <w:spacing w:after="0" w:line="240" w:lineRule="auto"/>
        <w:ind w:left="720"/>
        <w:jc w:val="both"/>
        <w:rPr>
          <w:rFonts w:ascii="Arial" w:hAnsi="Arial" w:cs="Arial"/>
          <w:sz w:val="24"/>
          <w:szCs w:val="24"/>
        </w:rPr>
      </w:pPr>
    </w:p>
    <w:p w:rsidR="00AA3189" w:rsidRDefault="00AA3189" w:rsidP="00BC68F7">
      <w:pPr>
        <w:numPr>
          <w:ilvl w:val="0"/>
          <w:numId w:val="33"/>
        </w:numPr>
        <w:spacing w:after="0" w:line="240" w:lineRule="auto"/>
        <w:jc w:val="both"/>
        <w:rPr>
          <w:rFonts w:ascii="Arial" w:hAnsi="Arial" w:cs="Arial"/>
          <w:sz w:val="24"/>
          <w:szCs w:val="24"/>
        </w:rPr>
      </w:pPr>
      <w:r w:rsidRPr="00BC68F7">
        <w:rPr>
          <w:rFonts w:ascii="Arial" w:hAnsi="Arial" w:cs="Arial"/>
          <w:sz w:val="24"/>
          <w:szCs w:val="24"/>
          <w:u w:val="single"/>
        </w:rPr>
        <w:t>Approved/certified detailed work design</w:t>
      </w:r>
      <w:r w:rsidRPr="00BC68F7">
        <w:rPr>
          <w:rFonts w:ascii="Arial" w:hAnsi="Arial" w:cs="Arial"/>
          <w:sz w:val="24"/>
          <w:szCs w:val="24"/>
        </w:rPr>
        <w:t xml:space="preserve"> or otherwise a statement by the relevant national institution(s) confirming that the national legislation(s) do/does not require the design’s approval for this type of works;</w:t>
      </w:r>
    </w:p>
    <w:p w:rsidR="00BC68F7" w:rsidRDefault="00BC68F7" w:rsidP="00BC68F7">
      <w:pPr>
        <w:pStyle w:val="ListParagraph"/>
        <w:spacing w:after="0" w:line="240" w:lineRule="auto"/>
        <w:rPr>
          <w:rFonts w:ascii="Arial" w:hAnsi="Arial" w:cs="Arial"/>
          <w:sz w:val="24"/>
          <w:szCs w:val="24"/>
        </w:rPr>
      </w:pPr>
    </w:p>
    <w:p w:rsidR="00AA3189" w:rsidRDefault="00AA3189" w:rsidP="00BC68F7">
      <w:pPr>
        <w:numPr>
          <w:ilvl w:val="0"/>
          <w:numId w:val="33"/>
        </w:numPr>
        <w:spacing w:after="0" w:line="240" w:lineRule="auto"/>
        <w:jc w:val="both"/>
        <w:rPr>
          <w:rFonts w:ascii="Arial" w:hAnsi="Arial" w:cs="Arial"/>
          <w:sz w:val="24"/>
          <w:szCs w:val="24"/>
        </w:rPr>
      </w:pPr>
      <w:r w:rsidRPr="00BC68F7">
        <w:rPr>
          <w:rFonts w:ascii="Arial" w:hAnsi="Arial" w:cs="Arial"/>
          <w:sz w:val="24"/>
          <w:szCs w:val="24"/>
          <w:u w:val="single"/>
        </w:rPr>
        <w:t>A positive decision on environmental impact assessment</w:t>
      </w:r>
      <w:r w:rsidRPr="00BC68F7">
        <w:rPr>
          <w:rFonts w:ascii="Arial" w:hAnsi="Arial" w:cs="Arial"/>
          <w:sz w:val="24"/>
          <w:szCs w:val="24"/>
        </w:rPr>
        <w:t xml:space="preserve"> or otherwise a statement from the relevant public authority(ies) that the latter assessment(s) are/is not needed for the specific project activities;</w:t>
      </w:r>
    </w:p>
    <w:p w:rsidR="00BC68F7" w:rsidRDefault="00BC68F7" w:rsidP="00BC68F7">
      <w:pPr>
        <w:spacing w:after="0" w:line="240" w:lineRule="auto"/>
        <w:jc w:val="both"/>
        <w:rPr>
          <w:rFonts w:ascii="Arial" w:hAnsi="Arial" w:cs="Arial"/>
          <w:sz w:val="24"/>
          <w:szCs w:val="24"/>
        </w:rPr>
      </w:pPr>
    </w:p>
    <w:p w:rsidR="00AA3189" w:rsidRDefault="00AA3189" w:rsidP="00BC68F7">
      <w:pPr>
        <w:numPr>
          <w:ilvl w:val="0"/>
          <w:numId w:val="33"/>
        </w:numPr>
        <w:spacing w:after="0" w:line="240" w:lineRule="auto"/>
        <w:jc w:val="both"/>
        <w:rPr>
          <w:rFonts w:ascii="Arial" w:hAnsi="Arial" w:cs="Arial"/>
          <w:sz w:val="24"/>
          <w:szCs w:val="24"/>
        </w:rPr>
      </w:pPr>
      <w:r w:rsidRPr="00BC68F7">
        <w:rPr>
          <w:rFonts w:ascii="Arial" w:hAnsi="Arial" w:cs="Arial"/>
          <w:sz w:val="24"/>
          <w:szCs w:val="24"/>
        </w:rPr>
        <w:t xml:space="preserve">All necessary </w:t>
      </w:r>
      <w:r w:rsidRPr="00BC68F7">
        <w:rPr>
          <w:rFonts w:ascii="Arial" w:hAnsi="Arial" w:cs="Arial"/>
          <w:sz w:val="24"/>
          <w:szCs w:val="24"/>
          <w:u w:val="single"/>
        </w:rPr>
        <w:t>legal authorisations</w:t>
      </w:r>
      <w:r w:rsidRPr="00BC68F7">
        <w:rPr>
          <w:rFonts w:ascii="Arial" w:hAnsi="Arial" w:cs="Arial"/>
          <w:sz w:val="24"/>
          <w:szCs w:val="24"/>
        </w:rPr>
        <w:t xml:space="preserve"> (e.g.: location and construction permits);</w:t>
      </w:r>
    </w:p>
    <w:p w:rsidR="00BC68F7" w:rsidRDefault="00BC68F7" w:rsidP="00BC68F7">
      <w:pPr>
        <w:pStyle w:val="ListParagraph"/>
        <w:spacing w:after="0" w:line="240" w:lineRule="auto"/>
        <w:rPr>
          <w:rFonts w:ascii="Arial" w:hAnsi="Arial" w:cs="Arial"/>
          <w:sz w:val="24"/>
          <w:szCs w:val="24"/>
        </w:rPr>
      </w:pPr>
    </w:p>
    <w:p w:rsidR="00AA3189" w:rsidRPr="00BC68F7" w:rsidRDefault="00AA3189" w:rsidP="00BC68F7">
      <w:pPr>
        <w:numPr>
          <w:ilvl w:val="0"/>
          <w:numId w:val="33"/>
        </w:numPr>
        <w:spacing w:after="0" w:line="240" w:lineRule="auto"/>
        <w:jc w:val="both"/>
        <w:rPr>
          <w:rFonts w:ascii="Arial" w:hAnsi="Arial" w:cs="Arial"/>
          <w:sz w:val="24"/>
          <w:szCs w:val="24"/>
        </w:rPr>
      </w:pPr>
      <w:r w:rsidRPr="00BC68F7">
        <w:rPr>
          <w:rFonts w:ascii="Arial" w:hAnsi="Arial" w:cs="Arial"/>
          <w:sz w:val="24"/>
          <w:szCs w:val="24"/>
        </w:rPr>
        <w:t xml:space="preserve">An indicative </w:t>
      </w:r>
      <w:r w:rsidRPr="00BC68F7">
        <w:rPr>
          <w:rFonts w:ascii="Arial" w:hAnsi="Arial" w:cs="Arial"/>
          <w:sz w:val="24"/>
          <w:szCs w:val="24"/>
          <w:u w:val="single"/>
        </w:rPr>
        <w:t>bill of quantities</w:t>
      </w:r>
      <w:r w:rsidRPr="00BC68F7">
        <w:rPr>
          <w:rFonts w:ascii="Arial" w:hAnsi="Arial" w:cs="Arial"/>
          <w:sz w:val="24"/>
          <w:szCs w:val="24"/>
        </w:rPr>
        <w:t xml:space="preserve"> </w:t>
      </w:r>
      <w:r w:rsidR="00460DB4">
        <w:rPr>
          <w:rFonts w:ascii="Arial" w:hAnsi="Arial" w:cs="Arial"/>
          <w:sz w:val="24"/>
          <w:szCs w:val="24"/>
        </w:rPr>
        <w:t xml:space="preserve">or a </w:t>
      </w:r>
      <w:r w:rsidR="00460DB4" w:rsidRPr="00460DB4">
        <w:rPr>
          <w:rFonts w:ascii="Arial" w:hAnsi="Arial" w:cs="Arial"/>
          <w:sz w:val="24"/>
          <w:szCs w:val="24"/>
          <w:u w:val="single"/>
        </w:rPr>
        <w:t>detailed breakdown of prices</w:t>
      </w:r>
      <w:r w:rsidR="00460DB4">
        <w:rPr>
          <w:rFonts w:ascii="Arial" w:hAnsi="Arial" w:cs="Arial"/>
          <w:sz w:val="24"/>
          <w:szCs w:val="24"/>
        </w:rPr>
        <w:t xml:space="preserve"> </w:t>
      </w:r>
      <w:r w:rsidRPr="00BC68F7">
        <w:rPr>
          <w:rFonts w:ascii="Arial" w:hAnsi="Arial" w:cs="Arial"/>
          <w:sz w:val="24"/>
          <w:szCs w:val="24"/>
        </w:rPr>
        <w:t xml:space="preserve">issued not earlier than 2 years prior to the </w:t>
      </w:r>
      <w:r w:rsidR="00BC68F7">
        <w:rPr>
          <w:rFonts w:ascii="Arial" w:hAnsi="Arial" w:cs="Arial"/>
          <w:sz w:val="24"/>
          <w:szCs w:val="24"/>
        </w:rPr>
        <w:t>assessment</w:t>
      </w:r>
      <w:r w:rsidRPr="00BC68F7">
        <w:rPr>
          <w:rFonts w:ascii="Arial" w:hAnsi="Arial" w:cs="Arial"/>
          <w:sz w:val="24"/>
          <w:szCs w:val="24"/>
        </w:rPr>
        <w:t xml:space="preserve"> – calculated in euro. </w:t>
      </w:r>
    </w:p>
    <w:p w:rsidR="00AA3189" w:rsidRDefault="00AA3189" w:rsidP="00BC68F7">
      <w:pPr>
        <w:spacing w:after="0" w:line="240" w:lineRule="auto"/>
        <w:jc w:val="both"/>
        <w:rPr>
          <w:rFonts w:ascii="Arial" w:hAnsi="Arial" w:cs="Arial"/>
          <w:sz w:val="24"/>
          <w:szCs w:val="24"/>
          <w:lang w:val="en-US"/>
        </w:rPr>
      </w:pPr>
    </w:p>
    <w:p w:rsidR="00AA3189" w:rsidRPr="00C6388A" w:rsidRDefault="00FF64A3" w:rsidP="00316F9D">
      <w:pPr>
        <w:spacing w:after="0" w:line="240" w:lineRule="auto"/>
        <w:jc w:val="both"/>
        <w:rPr>
          <w:rFonts w:ascii="Arial" w:hAnsi="Arial" w:cs="Arial"/>
          <w:sz w:val="24"/>
          <w:szCs w:val="24"/>
          <w:lang w:val="en-US"/>
        </w:rPr>
      </w:pPr>
      <w:r>
        <w:rPr>
          <w:rFonts w:ascii="Arial" w:hAnsi="Arial" w:cs="Arial"/>
          <w:sz w:val="24"/>
          <w:szCs w:val="24"/>
          <w:lang w:val="en-US"/>
        </w:rPr>
        <w:lastRenderedPageBreak/>
        <w:t>In the end, the OSs, along with the JTS</w:t>
      </w:r>
      <w:r w:rsidR="003C2377">
        <w:rPr>
          <w:rFonts w:ascii="Arial" w:hAnsi="Arial" w:cs="Arial"/>
          <w:sz w:val="24"/>
          <w:szCs w:val="24"/>
          <w:lang w:val="en-US"/>
        </w:rPr>
        <w:t xml:space="preserve"> (if decide so)</w:t>
      </w:r>
      <w:r>
        <w:rPr>
          <w:rFonts w:ascii="Arial" w:hAnsi="Arial" w:cs="Arial"/>
          <w:sz w:val="24"/>
          <w:szCs w:val="24"/>
          <w:lang w:val="en-US"/>
        </w:rPr>
        <w:t xml:space="preserve">, should carry out a field visit and deep interview with the beneficiaries of the operation with the highest score wherever they feel that the venture may have real prospects of being funded under the CBC programme. </w:t>
      </w:r>
      <w:r w:rsidR="0012781F">
        <w:rPr>
          <w:rFonts w:ascii="Arial" w:hAnsi="Arial" w:cs="Arial"/>
          <w:sz w:val="24"/>
          <w:szCs w:val="24"/>
          <w:lang w:val="en-US"/>
        </w:rPr>
        <w:t xml:space="preserve">Based on a field assessment </w:t>
      </w:r>
      <w:r w:rsidR="00BC68F7">
        <w:rPr>
          <w:rFonts w:ascii="Arial" w:hAnsi="Arial" w:cs="Arial"/>
          <w:sz w:val="24"/>
          <w:szCs w:val="24"/>
          <w:lang w:val="en-US"/>
        </w:rPr>
        <w:t xml:space="preserve">and </w:t>
      </w:r>
      <w:r w:rsidR="00DF6144">
        <w:rPr>
          <w:rFonts w:ascii="Arial" w:hAnsi="Arial" w:cs="Arial"/>
          <w:sz w:val="24"/>
          <w:szCs w:val="24"/>
          <w:lang w:val="en-US"/>
        </w:rPr>
        <w:t xml:space="preserve">the comprehensiveness </w:t>
      </w:r>
      <w:r w:rsidR="00BC68F7">
        <w:rPr>
          <w:rFonts w:ascii="Arial" w:hAnsi="Arial" w:cs="Arial"/>
          <w:sz w:val="24"/>
          <w:szCs w:val="24"/>
          <w:lang w:val="en-US"/>
        </w:rPr>
        <w:t xml:space="preserve">of </w:t>
      </w:r>
      <w:r w:rsidR="00DF6144">
        <w:rPr>
          <w:rFonts w:ascii="Arial" w:hAnsi="Arial" w:cs="Arial"/>
          <w:sz w:val="24"/>
          <w:szCs w:val="24"/>
          <w:lang w:val="en-US"/>
        </w:rPr>
        <w:t xml:space="preserve">supporting </w:t>
      </w:r>
      <w:r w:rsidR="00BC68F7">
        <w:rPr>
          <w:rFonts w:ascii="Arial" w:hAnsi="Arial" w:cs="Arial"/>
          <w:sz w:val="24"/>
          <w:szCs w:val="24"/>
          <w:lang w:val="en-US"/>
        </w:rPr>
        <w:t>documents</w:t>
      </w:r>
      <w:r w:rsidR="00AA3189">
        <w:rPr>
          <w:rFonts w:ascii="Arial" w:hAnsi="Arial" w:cs="Arial"/>
          <w:sz w:val="24"/>
          <w:szCs w:val="24"/>
          <w:lang w:val="en-US"/>
        </w:rPr>
        <w:t xml:space="preserve">, the OSs will classify </w:t>
      </w:r>
      <w:r w:rsidR="00AA3189" w:rsidRPr="00C6388A">
        <w:rPr>
          <w:rFonts w:ascii="Arial" w:hAnsi="Arial" w:cs="Arial"/>
          <w:sz w:val="24"/>
          <w:szCs w:val="24"/>
          <w:lang w:val="en-US"/>
        </w:rPr>
        <w:t xml:space="preserve">the project ideas </w:t>
      </w:r>
      <w:r w:rsidR="00BC68F7" w:rsidRPr="00C6388A">
        <w:rPr>
          <w:rFonts w:ascii="Arial" w:hAnsi="Arial" w:cs="Arial"/>
          <w:sz w:val="24"/>
          <w:szCs w:val="24"/>
          <w:lang w:val="en-US"/>
        </w:rPr>
        <w:t xml:space="preserve">according to </w:t>
      </w:r>
      <w:r w:rsidR="00635500" w:rsidRPr="00C6388A">
        <w:rPr>
          <w:rFonts w:ascii="Arial" w:hAnsi="Arial" w:cs="Arial"/>
          <w:sz w:val="24"/>
          <w:szCs w:val="24"/>
          <w:lang w:val="en-US"/>
        </w:rPr>
        <w:t>the figure</w:t>
      </w:r>
      <w:r w:rsidR="00BC68F7" w:rsidRPr="00C6388A">
        <w:rPr>
          <w:rFonts w:ascii="Arial" w:hAnsi="Arial" w:cs="Arial"/>
          <w:sz w:val="24"/>
          <w:szCs w:val="24"/>
          <w:lang w:val="en-US"/>
        </w:rPr>
        <w:t xml:space="preserve"> below that resembles the </w:t>
      </w:r>
      <w:r w:rsidR="007A2A1A" w:rsidRPr="00C6388A">
        <w:rPr>
          <w:rFonts w:ascii="Arial" w:hAnsi="Arial" w:cs="Arial"/>
          <w:sz w:val="24"/>
          <w:szCs w:val="24"/>
          <w:lang w:val="en-US"/>
        </w:rPr>
        <w:t>two-</w:t>
      </w:r>
      <w:r w:rsidR="00360A5E" w:rsidRPr="00C6388A">
        <w:rPr>
          <w:rFonts w:ascii="Arial" w:hAnsi="Arial" w:cs="Arial"/>
          <w:sz w:val="24"/>
          <w:szCs w:val="24"/>
          <w:lang w:val="en-US"/>
        </w:rPr>
        <w:t xml:space="preserve">dimension </w:t>
      </w:r>
      <w:r w:rsidR="00BC68F7" w:rsidRPr="00C6388A">
        <w:rPr>
          <w:rFonts w:ascii="Arial" w:hAnsi="Arial" w:cs="Arial"/>
          <w:sz w:val="24"/>
          <w:szCs w:val="24"/>
          <w:lang w:val="en-US"/>
        </w:rPr>
        <w:t>Eisenhower principle</w:t>
      </w:r>
      <w:r w:rsidR="0053597C" w:rsidRPr="00C6388A">
        <w:rPr>
          <w:rFonts w:ascii="Arial" w:hAnsi="Arial" w:cs="Arial"/>
          <w:sz w:val="24"/>
          <w:szCs w:val="24"/>
          <w:lang w:val="en-US"/>
        </w:rPr>
        <w:t>, involving four groups of project ideas</w:t>
      </w:r>
      <w:r w:rsidR="00BC68F7" w:rsidRPr="00C6388A">
        <w:rPr>
          <w:rFonts w:ascii="Arial" w:hAnsi="Arial" w:cs="Arial"/>
          <w:sz w:val="24"/>
          <w:szCs w:val="24"/>
          <w:lang w:val="en-US"/>
        </w:rPr>
        <w:t xml:space="preserve">. </w:t>
      </w:r>
    </w:p>
    <w:p w:rsidR="0053597C" w:rsidRPr="00C6388A" w:rsidRDefault="0053597C" w:rsidP="00316F9D">
      <w:pPr>
        <w:spacing w:after="0" w:line="240" w:lineRule="auto"/>
        <w:jc w:val="both"/>
        <w:rPr>
          <w:rFonts w:ascii="Arial" w:hAnsi="Arial" w:cs="Arial"/>
          <w:sz w:val="24"/>
          <w:szCs w:val="24"/>
          <w:lang w:val="en-US"/>
        </w:rPr>
      </w:pPr>
    </w:p>
    <w:p w:rsidR="0053597C" w:rsidRPr="00C6388A" w:rsidRDefault="0053597C" w:rsidP="0053597C">
      <w:pPr>
        <w:rPr>
          <w:rFonts w:ascii="Arial" w:hAnsi="Arial" w:cs="Arial"/>
          <w:sz w:val="24"/>
          <w:szCs w:val="24"/>
          <w:lang w:val="en-US"/>
        </w:rPr>
      </w:pPr>
      <w:r w:rsidRPr="00C6388A">
        <w:rPr>
          <w:rFonts w:ascii="Arial" w:hAnsi="Arial" w:cs="Arial"/>
          <w:sz w:val="24"/>
          <w:szCs w:val="24"/>
          <w:lang w:val="en-US"/>
        </w:rPr>
        <w:t>These four “project ideas” groups are:</w:t>
      </w:r>
    </w:p>
    <w:p w:rsidR="0053597C" w:rsidRPr="00C6388A" w:rsidRDefault="0053597C" w:rsidP="0053597C">
      <w:pPr>
        <w:numPr>
          <w:ilvl w:val="0"/>
          <w:numId w:val="49"/>
        </w:numPr>
        <w:spacing w:after="0" w:line="240" w:lineRule="auto"/>
        <w:rPr>
          <w:rFonts w:ascii="Arial" w:hAnsi="Arial" w:cs="Arial"/>
          <w:sz w:val="24"/>
          <w:szCs w:val="24"/>
          <w:lang w:val="en-US"/>
        </w:rPr>
      </w:pPr>
      <w:r w:rsidRPr="00C6388A">
        <w:rPr>
          <w:rFonts w:ascii="Arial" w:hAnsi="Arial" w:cs="Arial"/>
          <w:b/>
          <w:sz w:val="24"/>
          <w:szCs w:val="24"/>
          <w:lang w:val="en-US"/>
        </w:rPr>
        <w:t>Group 1</w:t>
      </w:r>
      <w:r w:rsidRPr="00C6388A">
        <w:rPr>
          <w:rFonts w:ascii="Arial" w:hAnsi="Arial" w:cs="Arial"/>
          <w:sz w:val="24"/>
          <w:szCs w:val="24"/>
          <w:lang w:val="en-US"/>
        </w:rPr>
        <w:t>: High CBC impact, simple and mature projects that could start immediately</w:t>
      </w:r>
    </w:p>
    <w:p w:rsidR="0053597C" w:rsidRPr="00C6388A" w:rsidRDefault="0053597C" w:rsidP="0053597C">
      <w:pPr>
        <w:numPr>
          <w:ilvl w:val="0"/>
          <w:numId w:val="49"/>
        </w:numPr>
        <w:spacing w:after="0" w:line="240" w:lineRule="auto"/>
        <w:rPr>
          <w:rFonts w:ascii="Arial" w:hAnsi="Arial" w:cs="Arial"/>
          <w:sz w:val="24"/>
          <w:szCs w:val="24"/>
          <w:lang w:val="en-US"/>
        </w:rPr>
      </w:pPr>
      <w:r w:rsidRPr="00C6388A">
        <w:rPr>
          <w:rFonts w:ascii="Arial" w:hAnsi="Arial" w:cs="Arial"/>
          <w:b/>
          <w:sz w:val="24"/>
          <w:szCs w:val="24"/>
          <w:lang w:val="en-US"/>
        </w:rPr>
        <w:t>Group 2</w:t>
      </w:r>
      <w:r w:rsidRPr="00C6388A">
        <w:rPr>
          <w:rFonts w:ascii="Arial" w:hAnsi="Arial" w:cs="Arial"/>
          <w:sz w:val="24"/>
          <w:szCs w:val="24"/>
          <w:lang w:val="en-US"/>
        </w:rPr>
        <w:t>: Non mature but non-complex projects, but still with high CBC impact, that need further development</w:t>
      </w:r>
    </w:p>
    <w:p w:rsidR="0053597C" w:rsidRPr="00C6388A" w:rsidRDefault="0053597C" w:rsidP="0053597C">
      <w:pPr>
        <w:numPr>
          <w:ilvl w:val="0"/>
          <w:numId w:val="49"/>
        </w:numPr>
        <w:spacing w:after="0" w:line="240" w:lineRule="auto"/>
        <w:rPr>
          <w:rFonts w:ascii="Arial" w:hAnsi="Arial" w:cs="Arial"/>
          <w:sz w:val="24"/>
          <w:szCs w:val="24"/>
          <w:lang w:val="en-US"/>
        </w:rPr>
      </w:pPr>
      <w:r w:rsidRPr="00C6388A">
        <w:rPr>
          <w:rFonts w:ascii="Arial" w:hAnsi="Arial" w:cs="Arial"/>
          <w:b/>
          <w:sz w:val="24"/>
          <w:szCs w:val="24"/>
          <w:lang w:val="en-US"/>
        </w:rPr>
        <w:t>Group 3</w:t>
      </w:r>
      <w:r w:rsidRPr="00C6388A">
        <w:rPr>
          <w:rFonts w:ascii="Arial" w:hAnsi="Arial" w:cs="Arial"/>
          <w:sz w:val="24"/>
          <w:szCs w:val="24"/>
          <w:lang w:val="en-US"/>
        </w:rPr>
        <w:t xml:space="preserve">: Mature but complex and having low CBC impact projects, that need further simplification </w:t>
      </w:r>
    </w:p>
    <w:p w:rsidR="0053597C" w:rsidRPr="00C6388A" w:rsidRDefault="0053597C" w:rsidP="0053597C">
      <w:pPr>
        <w:numPr>
          <w:ilvl w:val="0"/>
          <w:numId w:val="49"/>
        </w:numPr>
        <w:spacing w:after="0" w:line="240" w:lineRule="auto"/>
        <w:rPr>
          <w:rFonts w:ascii="Arial" w:hAnsi="Arial" w:cs="Arial"/>
          <w:lang w:val="en-US"/>
        </w:rPr>
      </w:pPr>
      <w:r w:rsidRPr="00C6388A">
        <w:rPr>
          <w:rFonts w:ascii="Arial" w:hAnsi="Arial" w:cs="Arial"/>
          <w:b/>
          <w:sz w:val="24"/>
          <w:szCs w:val="24"/>
          <w:lang w:val="en-US"/>
        </w:rPr>
        <w:t>Group 4</w:t>
      </w:r>
      <w:r w:rsidRPr="00C6388A">
        <w:rPr>
          <w:rFonts w:ascii="Arial" w:hAnsi="Arial" w:cs="Arial"/>
          <w:sz w:val="24"/>
          <w:szCs w:val="24"/>
          <w:lang w:val="en-US"/>
        </w:rPr>
        <w:t>: High degree of complexity with low CBC impact and low maturity projects, that require restructuring</w:t>
      </w:r>
    </w:p>
    <w:p w:rsidR="0053597C" w:rsidRDefault="0053597C" w:rsidP="00316F9D">
      <w:pPr>
        <w:spacing w:after="0" w:line="240" w:lineRule="auto"/>
        <w:jc w:val="both"/>
        <w:rPr>
          <w:rFonts w:ascii="Arial" w:hAnsi="Arial" w:cs="Arial"/>
          <w:sz w:val="24"/>
          <w:szCs w:val="24"/>
          <w:lang w:val="en-US"/>
        </w:rPr>
      </w:pPr>
    </w:p>
    <w:p w:rsidR="00CA3915" w:rsidRDefault="00CA3915" w:rsidP="00316F9D">
      <w:pPr>
        <w:spacing w:after="0" w:line="240" w:lineRule="auto"/>
        <w:jc w:val="both"/>
        <w:rPr>
          <w:rFonts w:ascii="Arial" w:hAnsi="Arial" w:cs="Arial"/>
          <w:sz w:val="24"/>
          <w:szCs w:val="24"/>
          <w:lang w:val="en-US"/>
        </w:rPr>
      </w:pPr>
    </w:p>
    <w:p w:rsidR="00CA3915" w:rsidRDefault="00CA3915" w:rsidP="00316F9D">
      <w:pPr>
        <w:spacing w:after="0" w:line="240" w:lineRule="auto"/>
        <w:jc w:val="both"/>
        <w:rPr>
          <w:rFonts w:ascii="Arial" w:hAnsi="Arial" w:cs="Arial"/>
          <w:sz w:val="24"/>
          <w:szCs w:val="24"/>
          <w:lang w:val="en-US"/>
        </w:rPr>
      </w:pPr>
    </w:p>
    <w:p w:rsidR="00BC68F7" w:rsidRDefault="00BC68F7" w:rsidP="00316F9D">
      <w:pPr>
        <w:spacing w:after="0" w:line="240" w:lineRule="auto"/>
        <w:jc w:val="both"/>
        <w:rPr>
          <w:rFonts w:ascii="Arial" w:hAnsi="Arial" w:cs="Arial"/>
          <w:sz w:val="24"/>
          <w:szCs w:val="24"/>
          <w:lang w:val="en-US"/>
        </w:rPr>
      </w:pPr>
    </w:p>
    <w:p w:rsidR="00CA3915" w:rsidRPr="00CA3915" w:rsidRDefault="00D25A2E" w:rsidP="00CA3915">
      <w:pPr>
        <w:rPr>
          <w:color w:val="0070C0"/>
          <w:sz w:val="18"/>
          <w:szCs w:val="18"/>
          <w:lang w:val="en-US"/>
        </w:rPr>
      </w:pPr>
      <w:r w:rsidRPr="00D25A2E">
        <w:rPr>
          <w:rFonts w:ascii="Arial" w:hAnsi="Arial" w:cs="Arial"/>
          <w:noProof/>
          <w:sz w:val="24"/>
          <w:szCs w:val="24"/>
          <w:lang w:val="en-US"/>
        </w:rPr>
        <w:pict>
          <v:shape id="_x0000_s1052" type="#_x0000_t202" style="position:absolute;margin-left:179.95pt;margin-top:-32.4pt;width:79.5pt;height:19.7pt;z-index:251683840" stroked="f">
            <v:textbox>
              <w:txbxContent>
                <w:p w:rsidR="003B21EA" w:rsidRPr="00CA3915" w:rsidRDefault="003B21EA">
                  <w:pPr>
                    <w:rPr>
                      <w:color w:val="0070C0"/>
                      <w:sz w:val="18"/>
                      <w:szCs w:val="18"/>
                      <w:lang w:val="en-US"/>
                    </w:rPr>
                  </w:pPr>
                  <w:r w:rsidRPr="00CA3915">
                    <w:rPr>
                      <w:color w:val="0070C0"/>
                      <w:sz w:val="18"/>
                      <w:szCs w:val="18"/>
                      <w:lang w:val="en-US"/>
                    </w:rPr>
                    <w:t>CBC Impact</w:t>
                  </w:r>
                </w:p>
              </w:txbxContent>
            </v:textbox>
          </v:shape>
        </w:pict>
      </w:r>
      <w:r w:rsidRPr="00D25A2E">
        <w:rPr>
          <w:rFonts w:ascii="Arial" w:hAnsi="Arial" w:cs="Arial"/>
          <w:noProof/>
          <w:sz w:val="24"/>
          <w:szCs w:val="24"/>
          <w:lang w:val="en-US"/>
        </w:rPr>
        <w:pict>
          <v:shape id="_x0000_s1053" type="#_x0000_t202" style="position:absolute;margin-left:344.4pt;margin-top:113.05pt;width:69.3pt;height:23.75pt;z-index:251684864" stroked="f">
            <v:textbox>
              <w:txbxContent>
                <w:p w:rsidR="003B21EA" w:rsidRPr="00CA3915" w:rsidRDefault="003B21EA">
                  <w:pPr>
                    <w:rPr>
                      <w:color w:val="0070C0"/>
                      <w:sz w:val="18"/>
                      <w:szCs w:val="18"/>
                      <w:lang w:val="en-US"/>
                    </w:rPr>
                  </w:pPr>
                  <w:r w:rsidRPr="00CA3915">
                    <w:rPr>
                      <w:color w:val="0070C0"/>
                      <w:sz w:val="18"/>
                      <w:szCs w:val="18"/>
                      <w:lang w:val="en-US"/>
                    </w:rPr>
                    <w:t>Maturity</w:t>
                  </w:r>
                </w:p>
              </w:txbxContent>
            </v:textbox>
          </v:shape>
        </w:pict>
      </w:r>
      <w:r w:rsidRPr="00D25A2E">
        <w:rPr>
          <w:rFonts w:ascii="Arial" w:hAnsi="Arial" w:cs="Arial"/>
          <w:noProof/>
          <w:sz w:val="24"/>
          <w:szCs w:val="24"/>
          <w:lang w:val="en-US"/>
        </w:rPr>
        <w:pict>
          <v:shape id="_x0000_s1051" type="#_x0000_t202" style="position:absolute;margin-left:-3.65pt;margin-top:184.15pt;width:102.15pt;height:18.35pt;z-index:251682816" fillcolor="red" stroked="f">
            <v:textbox style="mso-next-textbox:#_x0000_s1051">
              <w:txbxContent>
                <w:p w:rsidR="003B21EA" w:rsidRPr="00CA3915" w:rsidRDefault="003B21EA" w:rsidP="00CA3915">
                  <w:pPr>
                    <w:shd w:val="clear" w:color="auto" w:fill="FF0000"/>
                    <w:rPr>
                      <w:color w:val="FFFFFF" w:themeColor="background1"/>
                      <w:sz w:val="18"/>
                      <w:szCs w:val="18"/>
                      <w:lang w:val="en-US"/>
                    </w:rPr>
                  </w:pPr>
                  <w:r w:rsidRPr="00CA3915">
                    <w:rPr>
                      <w:color w:val="FFFFFF" w:themeColor="background1"/>
                      <w:sz w:val="18"/>
                      <w:szCs w:val="18"/>
                      <w:lang w:val="en-US"/>
                    </w:rPr>
                    <w:t>Group 4: Restructure</w:t>
                  </w:r>
                </w:p>
              </w:txbxContent>
            </v:textbox>
          </v:shape>
        </w:pict>
      </w:r>
      <w:r w:rsidRPr="00D25A2E">
        <w:rPr>
          <w:rFonts w:ascii="Arial" w:hAnsi="Arial" w:cs="Arial"/>
          <w:noProof/>
          <w:sz w:val="24"/>
          <w:szCs w:val="24"/>
          <w:lang w:val="en-US"/>
        </w:rPr>
        <w:pict>
          <v:shape id="_x0000_s1050" type="#_x0000_t202" style="position:absolute;margin-left:12pt;margin-top:15pt;width:86.5pt;height:18.35pt;z-index:251681792" fillcolor="#fbd4b4 [1305]" stroked="f">
            <v:textbox style="mso-next-textbox:#_x0000_s1050">
              <w:txbxContent>
                <w:p w:rsidR="003B21EA" w:rsidRPr="00CA3915" w:rsidRDefault="003B21EA" w:rsidP="00CA3915">
                  <w:pPr>
                    <w:shd w:val="clear" w:color="auto" w:fill="FDE9D9" w:themeFill="accent6" w:themeFillTint="33"/>
                    <w:rPr>
                      <w:sz w:val="18"/>
                      <w:szCs w:val="18"/>
                      <w:lang w:val="en-US"/>
                    </w:rPr>
                  </w:pPr>
                  <w:r>
                    <w:rPr>
                      <w:sz w:val="18"/>
                      <w:szCs w:val="18"/>
                      <w:lang w:val="en-US"/>
                    </w:rPr>
                    <w:t>Group 2</w:t>
                  </w:r>
                  <w:r w:rsidRPr="00CA3915">
                    <w:rPr>
                      <w:sz w:val="18"/>
                      <w:szCs w:val="18"/>
                      <w:lang w:val="en-US"/>
                    </w:rPr>
                    <w:t xml:space="preserve">: </w:t>
                  </w:r>
                  <w:r>
                    <w:rPr>
                      <w:sz w:val="18"/>
                      <w:szCs w:val="18"/>
                      <w:lang w:val="en-US"/>
                    </w:rPr>
                    <w:t>Develop</w:t>
                  </w:r>
                </w:p>
              </w:txbxContent>
            </v:textbox>
          </v:shape>
        </w:pict>
      </w:r>
      <w:r w:rsidRPr="00D25A2E">
        <w:rPr>
          <w:rFonts w:ascii="Arial" w:hAnsi="Arial" w:cs="Arial"/>
          <w:noProof/>
          <w:sz w:val="24"/>
          <w:szCs w:val="24"/>
          <w:lang w:val="en-US"/>
        </w:rPr>
        <w:pict>
          <v:shape id="_x0000_s1049" type="#_x0000_t202" style="position:absolute;margin-left:332.8pt;margin-top:180.05pt;width:86.95pt;height:18.35pt;z-index:251680768" fillcolor="#ffc000" stroked="f">
            <v:textbox style="mso-next-textbox:#_x0000_s1049">
              <w:txbxContent>
                <w:p w:rsidR="003B21EA" w:rsidRPr="00CA3915" w:rsidRDefault="003B21EA" w:rsidP="00CA3915">
                  <w:pPr>
                    <w:shd w:val="clear" w:color="auto" w:fill="FFC000"/>
                    <w:rPr>
                      <w:sz w:val="18"/>
                      <w:szCs w:val="18"/>
                      <w:lang w:val="en-US"/>
                    </w:rPr>
                  </w:pPr>
                  <w:r>
                    <w:rPr>
                      <w:sz w:val="18"/>
                      <w:szCs w:val="18"/>
                      <w:lang w:val="en-US"/>
                    </w:rPr>
                    <w:t>Group 3:</w:t>
                  </w:r>
                  <w:r w:rsidRPr="00CA3915">
                    <w:rPr>
                      <w:sz w:val="18"/>
                      <w:szCs w:val="18"/>
                      <w:lang w:val="en-US"/>
                    </w:rPr>
                    <w:t xml:space="preserve"> </w:t>
                  </w:r>
                  <w:r>
                    <w:rPr>
                      <w:sz w:val="18"/>
                      <w:szCs w:val="18"/>
                      <w:lang w:val="en-US"/>
                    </w:rPr>
                    <w:t>Simplify</w:t>
                  </w:r>
                </w:p>
              </w:txbxContent>
            </v:textbox>
          </v:shape>
        </w:pict>
      </w:r>
      <w:r w:rsidRPr="00D25A2E">
        <w:rPr>
          <w:rFonts w:ascii="Arial" w:hAnsi="Arial" w:cs="Arial"/>
          <w:noProof/>
          <w:sz w:val="24"/>
          <w:szCs w:val="24"/>
          <w:lang w:val="en-US"/>
        </w:rPr>
        <w:pict>
          <v:shape id="_x0000_s1048" type="#_x0000_t202" style="position:absolute;margin-left:332.8pt;margin-top:15pt;width:67.95pt;height:18.35pt;z-index:251679744" fillcolor="#92d050" stroked="f">
            <v:textbox style="mso-next-textbox:#_x0000_s1048">
              <w:txbxContent>
                <w:p w:rsidR="003B21EA" w:rsidRPr="00CA3915" w:rsidRDefault="003B21EA" w:rsidP="00CA3915">
                  <w:pPr>
                    <w:shd w:val="clear" w:color="auto" w:fill="92D050"/>
                    <w:rPr>
                      <w:sz w:val="18"/>
                      <w:szCs w:val="18"/>
                      <w:lang w:val="en-US"/>
                    </w:rPr>
                  </w:pPr>
                  <w:r w:rsidRPr="00CA3915">
                    <w:rPr>
                      <w:sz w:val="18"/>
                      <w:szCs w:val="18"/>
                      <w:lang w:val="en-US"/>
                    </w:rPr>
                    <w:t>Group 1: GO</w:t>
                  </w:r>
                </w:p>
              </w:txbxContent>
            </v:textbox>
          </v:shape>
        </w:pict>
      </w:r>
      <w:r w:rsidR="00635500">
        <w:rPr>
          <w:rFonts w:ascii="Arial" w:hAnsi="Arial" w:cs="Arial"/>
          <w:noProof/>
          <w:sz w:val="24"/>
          <w:szCs w:val="24"/>
          <w:lang w:val="en-US"/>
        </w:rPr>
        <w:drawing>
          <wp:inline distT="0" distB="0" distL="0" distR="0">
            <wp:extent cx="5486400" cy="327803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C68F7" w:rsidRDefault="00BC68F7" w:rsidP="00316F9D">
      <w:pPr>
        <w:spacing w:after="0" w:line="240" w:lineRule="auto"/>
        <w:jc w:val="both"/>
        <w:rPr>
          <w:rFonts w:ascii="Arial" w:hAnsi="Arial" w:cs="Arial"/>
          <w:sz w:val="24"/>
          <w:szCs w:val="24"/>
          <w:lang w:val="en-US"/>
        </w:rPr>
      </w:pPr>
    </w:p>
    <w:p w:rsidR="00635500" w:rsidRDefault="00635500" w:rsidP="00316F9D">
      <w:pPr>
        <w:spacing w:after="0" w:line="240" w:lineRule="auto"/>
        <w:jc w:val="both"/>
        <w:rPr>
          <w:rFonts w:ascii="Arial" w:hAnsi="Arial" w:cs="Arial"/>
          <w:sz w:val="24"/>
          <w:szCs w:val="24"/>
          <w:lang w:val="en-US"/>
        </w:rPr>
      </w:pPr>
      <w:r>
        <w:rPr>
          <w:rFonts w:ascii="Arial" w:hAnsi="Arial" w:cs="Arial"/>
          <w:sz w:val="24"/>
          <w:szCs w:val="24"/>
          <w:lang w:val="en-US"/>
        </w:rPr>
        <w:t>Only the projects assessed as having high CBC impact and high maturity would be suitable for selection</w:t>
      </w:r>
      <w:r w:rsidR="003C2377">
        <w:rPr>
          <w:rFonts w:ascii="Arial" w:hAnsi="Arial" w:cs="Arial"/>
          <w:sz w:val="24"/>
          <w:szCs w:val="24"/>
          <w:lang w:val="en-US"/>
        </w:rPr>
        <w:t xml:space="preserve"> (light green guardant)</w:t>
      </w:r>
      <w:r>
        <w:rPr>
          <w:rFonts w:ascii="Arial" w:hAnsi="Arial" w:cs="Arial"/>
          <w:sz w:val="24"/>
          <w:szCs w:val="24"/>
          <w:lang w:val="en-US"/>
        </w:rPr>
        <w:t xml:space="preserve">. </w:t>
      </w:r>
    </w:p>
    <w:p w:rsidR="00125C95" w:rsidRDefault="00125C95" w:rsidP="00316F9D">
      <w:pPr>
        <w:spacing w:after="0" w:line="240" w:lineRule="auto"/>
        <w:jc w:val="both"/>
        <w:rPr>
          <w:rFonts w:ascii="Arial" w:hAnsi="Arial" w:cs="Arial"/>
          <w:sz w:val="24"/>
          <w:szCs w:val="24"/>
          <w:lang w:val="en-US"/>
        </w:rPr>
      </w:pPr>
    </w:p>
    <w:p w:rsidR="00972A01" w:rsidRDefault="00972A01" w:rsidP="00316F9D">
      <w:pPr>
        <w:spacing w:after="0" w:line="240" w:lineRule="auto"/>
        <w:jc w:val="both"/>
        <w:rPr>
          <w:rFonts w:ascii="Arial" w:hAnsi="Arial" w:cs="Arial"/>
          <w:sz w:val="24"/>
          <w:szCs w:val="24"/>
          <w:lang w:val="en-US"/>
        </w:rPr>
      </w:pPr>
      <w:r w:rsidRPr="0012781F">
        <w:rPr>
          <w:rFonts w:ascii="Arial" w:hAnsi="Arial" w:cs="Arial"/>
          <w:sz w:val="24"/>
          <w:szCs w:val="24"/>
          <w:lang w:val="en-US"/>
        </w:rPr>
        <w:t xml:space="preserve">In case of complex strategic projects, involving </w:t>
      </w:r>
      <w:r w:rsidR="00CA481B">
        <w:rPr>
          <w:rFonts w:ascii="Arial" w:hAnsi="Arial" w:cs="Arial"/>
          <w:sz w:val="24"/>
          <w:szCs w:val="24"/>
          <w:lang w:val="en-US"/>
        </w:rPr>
        <w:t>“</w:t>
      </w:r>
      <w:r w:rsidR="007A2A1A">
        <w:rPr>
          <w:rFonts w:ascii="Arial" w:hAnsi="Arial" w:cs="Arial"/>
          <w:sz w:val="24"/>
          <w:szCs w:val="24"/>
          <w:lang w:val="en-US"/>
        </w:rPr>
        <w:t>difficult</w:t>
      </w:r>
      <w:r w:rsidR="00CA481B">
        <w:rPr>
          <w:rFonts w:ascii="Arial" w:hAnsi="Arial" w:cs="Arial"/>
          <w:sz w:val="24"/>
          <w:szCs w:val="24"/>
          <w:lang w:val="en-US"/>
        </w:rPr>
        <w:t>”</w:t>
      </w:r>
      <w:r w:rsidR="007A2A1A">
        <w:rPr>
          <w:rFonts w:ascii="Arial" w:hAnsi="Arial" w:cs="Arial"/>
          <w:sz w:val="24"/>
          <w:szCs w:val="24"/>
          <w:lang w:val="en-US"/>
        </w:rPr>
        <w:t xml:space="preserve"> </w:t>
      </w:r>
      <w:r w:rsidRPr="0012781F">
        <w:rPr>
          <w:rFonts w:ascii="Arial" w:hAnsi="Arial" w:cs="Arial"/>
          <w:sz w:val="24"/>
          <w:szCs w:val="24"/>
          <w:lang w:val="en-US"/>
        </w:rPr>
        <w:t>infrastructure</w:t>
      </w:r>
      <w:r w:rsidR="007A2A1A">
        <w:rPr>
          <w:rFonts w:ascii="Arial" w:hAnsi="Arial" w:cs="Arial"/>
          <w:sz w:val="24"/>
          <w:szCs w:val="24"/>
          <w:lang w:val="en-US"/>
        </w:rPr>
        <w:t xml:space="preserve"> </w:t>
      </w:r>
      <w:r w:rsidRPr="0012781F">
        <w:rPr>
          <w:rFonts w:ascii="Arial" w:hAnsi="Arial" w:cs="Arial"/>
          <w:sz w:val="24"/>
          <w:szCs w:val="24"/>
          <w:lang w:val="en-US"/>
        </w:rPr>
        <w:t>activities or requiring a sequence of interdependent activities</w:t>
      </w:r>
      <w:r w:rsidR="00125C95" w:rsidRPr="0012781F">
        <w:rPr>
          <w:rFonts w:ascii="Arial" w:hAnsi="Arial" w:cs="Arial"/>
          <w:sz w:val="24"/>
          <w:szCs w:val="24"/>
          <w:lang w:val="en-US"/>
        </w:rPr>
        <w:t xml:space="preserve"> that could make the implementation </w:t>
      </w:r>
      <w:r w:rsidR="00125C95" w:rsidRPr="0012781F">
        <w:rPr>
          <w:rFonts w:ascii="Arial" w:hAnsi="Arial" w:cs="Arial"/>
          <w:sz w:val="24"/>
          <w:szCs w:val="24"/>
          <w:lang w:val="en-US"/>
        </w:rPr>
        <w:lastRenderedPageBreak/>
        <w:t>of the project quite c</w:t>
      </w:r>
      <w:r w:rsidR="0012781F" w:rsidRPr="0012781F">
        <w:rPr>
          <w:rFonts w:ascii="Arial" w:hAnsi="Arial" w:cs="Arial"/>
          <w:sz w:val="24"/>
          <w:szCs w:val="24"/>
          <w:lang w:val="en-US"/>
        </w:rPr>
        <w:t>umbersome</w:t>
      </w:r>
      <w:r w:rsidRPr="0012781F">
        <w:rPr>
          <w:rFonts w:ascii="Arial" w:hAnsi="Arial" w:cs="Arial"/>
          <w:sz w:val="24"/>
          <w:szCs w:val="24"/>
          <w:lang w:val="en-US"/>
        </w:rPr>
        <w:t>, the OSs will further classify the project ideas according to the figure below</w:t>
      </w:r>
      <w:r w:rsidR="00125C95" w:rsidRPr="0012781F">
        <w:rPr>
          <w:rFonts w:ascii="Arial" w:hAnsi="Arial" w:cs="Arial"/>
          <w:sz w:val="24"/>
          <w:szCs w:val="24"/>
          <w:lang w:val="en-US"/>
        </w:rPr>
        <w:t>:</w:t>
      </w:r>
    </w:p>
    <w:p w:rsidR="00635500" w:rsidRDefault="00635500" w:rsidP="00316F9D">
      <w:pPr>
        <w:spacing w:after="0" w:line="240" w:lineRule="auto"/>
        <w:jc w:val="both"/>
        <w:rPr>
          <w:rFonts w:ascii="Arial" w:hAnsi="Arial" w:cs="Arial"/>
          <w:sz w:val="24"/>
          <w:szCs w:val="24"/>
          <w:lang w:val="en-US"/>
        </w:rPr>
      </w:pPr>
    </w:p>
    <w:p w:rsidR="00E63D75" w:rsidRPr="00CA3915" w:rsidRDefault="00E63D75" w:rsidP="00E63D75">
      <w:pPr>
        <w:rPr>
          <w:color w:val="0070C0"/>
          <w:sz w:val="18"/>
          <w:szCs w:val="18"/>
          <w:lang w:val="en-US"/>
        </w:rPr>
      </w:pPr>
    </w:p>
    <w:p w:rsidR="00E63D75" w:rsidRPr="00CA3915" w:rsidRDefault="00D25A2E" w:rsidP="00E63D75">
      <w:pPr>
        <w:rPr>
          <w:color w:val="0070C0"/>
          <w:sz w:val="18"/>
          <w:szCs w:val="18"/>
          <w:lang w:val="en-US"/>
        </w:rPr>
      </w:pPr>
      <w:r w:rsidRPr="00D25A2E">
        <w:rPr>
          <w:rFonts w:ascii="Arial" w:hAnsi="Arial" w:cs="Arial"/>
          <w:noProof/>
          <w:sz w:val="24"/>
          <w:szCs w:val="24"/>
          <w:lang w:val="en-US"/>
        </w:rPr>
        <w:pict>
          <v:shape id="_x0000_s1059" type="#_x0000_t202" style="position:absolute;margin-left:199pt;margin-top:-28.8pt;width:60.45pt;height:20.35pt;z-index:251692032" filled="f" stroked="f">
            <v:textbox>
              <w:txbxContent>
                <w:p w:rsidR="003B21EA" w:rsidRPr="00E63D75" w:rsidRDefault="003B21EA">
                  <w:pPr>
                    <w:rPr>
                      <w:color w:val="0070C0"/>
                      <w:sz w:val="18"/>
                      <w:szCs w:val="18"/>
                      <w:lang w:val="en-US"/>
                    </w:rPr>
                  </w:pPr>
                  <w:r w:rsidRPr="00E63D75">
                    <w:rPr>
                      <w:color w:val="0070C0"/>
                      <w:sz w:val="18"/>
                      <w:szCs w:val="18"/>
                      <w:lang w:val="en-US"/>
                    </w:rPr>
                    <w:t>Complexity</w:t>
                  </w:r>
                </w:p>
              </w:txbxContent>
            </v:textbox>
          </v:shape>
        </w:pict>
      </w:r>
      <w:r w:rsidRPr="00D25A2E">
        <w:rPr>
          <w:rFonts w:ascii="Arial" w:hAnsi="Arial" w:cs="Arial"/>
          <w:noProof/>
          <w:sz w:val="24"/>
          <w:szCs w:val="24"/>
          <w:lang w:val="en-US"/>
        </w:rPr>
        <w:pict>
          <v:shape id="_x0000_s1058" type="#_x0000_t202" style="position:absolute;margin-left:344.4pt;margin-top:113.05pt;width:69.3pt;height:23.75pt;z-index:251691008" stroked="f">
            <v:textbox>
              <w:txbxContent>
                <w:p w:rsidR="003B21EA" w:rsidRPr="00CA3915" w:rsidRDefault="003B21EA" w:rsidP="00E63D75">
                  <w:pPr>
                    <w:rPr>
                      <w:color w:val="0070C0"/>
                      <w:sz w:val="18"/>
                      <w:szCs w:val="18"/>
                      <w:lang w:val="en-US"/>
                    </w:rPr>
                  </w:pPr>
                  <w:r w:rsidRPr="00CA3915">
                    <w:rPr>
                      <w:color w:val="0070C0"/>
                      <w:sz w:val="18"/>
                      <w:szCs w:val="18"/>
                      <w:lang w:val="en-US"/>
                    </w:rPr>
                    <w:t>Maturity</w:t>
                  </w:r>
                </w:p>
              </w:txbxContent>
            </v:textbox>
          </v:shape>
        </w:pict>
      </w:r>
      <w:r w:rsidRPr="00D25A2E">
        <w:rPr>
          <w:rFonts w:ascii="Arial" w:hAnsi="Arial" w:cs="Arial"/>
          <w:noProof/>
          <w:sz w:val="24"/>
          <w:szCs w:val="24"/>
          <w:lang w:val="en-US"/>
        </w:rPr>
        <w:pict>
          <v:shape id="_x0000_s1057" type="#_x0000_t202" style="position:absolute;margin-left:-3.65pt;margin-top:184.15pt;width:102.15pt;height:18.35pt;z-index:251689984" fillcolor="red" stroked="f">
            <v:textbox style="mso-next-textbox:#_x0000_s1057">
              <w:txbxContent>
                <w:p w:rsidR="003B21EA" w:rsidRPr="00CA3915" w:rsidRDefault="003B21EA" w:rsidP="00E63D75">
                  <w:pPr>
                    <w:shd w:val="clear" w:color="auto" w:fill="FF0000"/>
                    <w:rPr>
                      <w:color w:val="FFFFFF" w:themeColor="background1"/>
                      <w:sz w:val="18"/>
                      <w:szCs w:val="18"/>
                      <w:lang w:val="en-US"/>
                    </w:rPr>
                  </w:pPr>
                  <w:r w:rsidRPr="00CA3915">
                    <w:rPr>
                      <w:color w:val="FFFFFF" w:themeColor="background1"/>
                      <w:sz w:val="18"/>
                      <w:szCs w:val="18"/>
                      <w:lang w:val="en-US"/>
                    </w:rPr>
                    <w:t>Group 4: Restructure</w:t>
                  </w:r>
                </w:p>
              </w:txbxContent>
            </v:textbox>
          </v:shape>
        </w:pict>
      </w:r>
      <w:r w:rsidRPr="00D25A2E">
        <w:rPr>
          <w:rFonts w:ascii="Arial" w:hAnsi="Arial" w:cs="Arial"/>
          <w:noProof/>
          <w:sz w:val="24"/>
          <w:szCs w:val="24"/>
          <w:lang w:val="en-US"/>
        </w:rPr>
        <w:pict>
          <v:shape id="_x0000_s1056" type="#_x0000_t202" style="position:absolute;margin-left:12pt;margin-top:15pt;width:86.5pt;height:18.35pt;z-index:251688960" fillcolor="#fbd4b4 [1305]" stroked="f">
            <v:textbox style="mso-next-textbox:#_x0000_s1056">
              <w:txbxContent>
                <w:p w:rsidR="003B21EA" w:rsidRPr="00CA3915" w:rsidRDefault="003B21EA" w:rsidP="00E63D75">
                  <w:pPr>
                    <w:shd w:val="clear" w:color="auto" w:fill="FDE9D9" w:themeFill="accent6" w:themeFillTint="33"/>
                    <w:rPr>
                      <w:sz w:val="18"/>
                      <w:szCs w:val="18"/>
                      <w:lang w:val="en-US"/>
                    </w:rPr>
                  </w:pPr>
                  <w:r>
                    <w:rPr>
                      <w:sz w:val="18"/>
                      <w:szCs w:val="18"/>
                      <w:lang w:val="en-US"/>
                    </w:rPr>
                    <w:t>Group 2</w:t>
                  </w:r>
                  <w:r w:rsidRPr="00CA3915">
                    <w:rPr>
                      <w:sz w:val="18"/>
                      <w:szCs w:val="18"/>
                      <w:lang w:val="en-US"/>
                    </w:rPr>
                    <w:t xml:space="preserve">: </w:t>
                  </w:r>
                  <w:r>
                    <w:rPr>
                      <w:sz w:val="18"/>
                      <w:szCs w:val="18"/>
                      <w:lang w:val="en-US"/>
                    </w:rPr>
                    <w:t>Develop</w:t>
                  </w:r>
                </w:p>
              </w:txbxContent>
            </v:textbox>
          </v:shape>
        </w:pict>
      </w:r>
      <w:r w:rsidRPr="00D25A2E">
        <w:rPr>
          <w:rFonts w:ascii="Arial" w:hAnsi="Arial" w:cs="Arial"/>
          <w:noProof/>
          <w:sz w:val="24"/>
          <w:szCs w:val="24"/>
          <w:lang w:val="en-US"/>
        </w:rPr>
        <w:pict>
          <v:shape id="_x0000_s1055" type="#_x0000_t202" style="position:absolute;margin-left:332.8pt;margin-top:180.05pt;width:86.95pt;height:18.35pt;z-index:251687936" fillcolor="#ffc000" stroked="f">
            <v:textbox style="mso-next-textbox:#_x0000_s1055">
              <w:txbxContent>
                <w:p w:rsidR="003B21EA" w:rsidRPr="00CA3915" w:rsidRDefault="003B21EA" w:rsidP="00E63D75">
                  <w:pPr>
                    <w:shd w:val="clear" w:color="auto" w:fill="FFC000"/>
                    <w:rPr>
                      <w:sz w:val="18"/>
                      <w:szCs w:val="18"/>
                      <w:lang w:val="en-US"/>
                    </w:rPr>
                  </w:pPr>
                  <w:r>
                    <w:rPr>
                      <w:sz w:val="18"/>
                      <w:szCs w:val="18"/>
                      <w:lang w:val="en-US"/>
                    </w:rPr>
                    <w:t>Group 3:</w:t>
                  </w:r>
                  <w:r w:rsidRPr="00CA3915">
                    <w:rPr>
                      <w:sz w:val="18"/>
                      <w:szCs w:val="18"/>
                      <w:lang w:val="en-US"/>
                    </w:rPr>
                    <w:t xml:space="preserve"> </w:t>
                  </w:r>
                  <w:r>
                    <w:rPr>
                      <w:sz w:val="18"/>
                      <w:szCs w:val="18"/>
                      <w:lang w:val="en-US"/>
                    </w:rPr>
                    <w:t>Simplify</w:t>
                  </w:r>
                </w:p>
              </w:txbxContent>
            </v:textbox>
          </v:shape>
        </w:pict>
      </w:r>
      <w:r w:rsidRPr="00D25A2E">
        <w:rPr>
          <w:rFonts w:ascii="Arial" w:hAnsi="Arial" w:cs="Arial"/>
          <w:noProof/>
          <w:sz w:val="24"/>
          <w:szCs w:val="24"/>
          <w:lang w:val="en-US"/>
        </w:rPr>
        <w:pict>
          <v:shape id="_x0000_s1054" type="#_x0000_t202" style="position:absolute;margin-left:332.8pt;margin-top:15pt;width:67.95pt;height:18.35pt;z-index:251686912" fillcolor="#92d050" stroked="f">
            <v:textbox style="mso-next-textbox:#_x0000_s1054">
              <w:txbxContent>
                <w:p w:rsidR="003B21EA" w:rsidRPr="00CA3915" w:rsidRDefault="003B21EA" w:rsidP="00E63D75">
                  <w:pPr>
                    <w:shd w:val="clear" w:color="auto" w:fill="92D050"/>
                    <w:rPr>
                      <w:sz w:val="18"/>
                      <w:szCs w:val="18"/>
                      <w:lang w:val="en-US"/>
                    </w:rPr>
                  </w:pPr>
                  <w:r w:rsidRPr="00CA3915">
                    <w:rPr>
                      <w:sz w:val="18"/>
                      <w:szCs w:val="18"/>
                      <w:lang w:val="en-US"/>
                    </w:rPr>
                    <w:t>Group 1: GO</w:t>
                  </w:r>
                </w:p>
              </w:txbxContent>
            </v:textbox>
          </v:shape>
        </w:pict>
      </w:r>
      <w:r w:rsidR="00E63D75">
        <w:rPr>
          <w:rFonts w:ascii="Arial" w:hAnsi="Arial" w:cs="Arial"/>
          <w:noProof/>
          <w:sz w:val="24"/>
          <w:szCs w:val="24"/>
          <w:lang w:val="en-US"/>
        </w:rPr>
        <w:drawing>
          <wp:inline distT="0" distB="0" distL="0" distR="0">
            <wp:extent cx="5486400" cy="3278038"/>
            <wp:effectExtent l="0" t="0" r="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F77EC" w:rsidRDefault="002F77EC" w:rsidP="00316F9D">
      <w:pPr>
        <w:spacing w:after="0" w:line="240" w:lineRule="auto"/>
        <w:jc w:val="both"/>
        <w:rPr>
          <w:rFonts w:ascii="Arial" w:hAnsi="Arial" w:cs="Arial"/>
          <w:sz w:val="24"/>
          <w:szCs w:val="24"/>
          <w:highlight w:val="red"/>
          <w:lang w:val="en-US"/>
        </w:rPr>
      </w:pPr>
    </w:p>
    <w:p w:rsidR="003C2377" w:rsidRDefault="003C2377" w:rsidP="003C2377">
      <w:pPr>
        <w:spacing w:after="0" w:line="240" w:lineRule="auto"/>
        <w:jc w:val="both"/>
        <w:rPr>
          <w:rFonts w:ascii="Arial" w:hAnsi="Arial" w:cs="Arial"/>
          <w:sz w:val="24"/>
          <w:szCs w:val="24"/>
          <w:lang w:val="en-US"/>
        </w:rPr>
      </w:pPr>
      <w:r>
        <w:rPr>
          <w:rFonts w:ascii="Arial" w:hAnsi="Arial" w:cs="Arial"/>
          <w:sz w:val="24"/>
          <w:szCs w:val="24"/>
          <w:lang w:val="en-US"/>
        </w:rPr>
        <w:t xml:space="preserve">Only the projects assessed as having a low complexity and high maturity would be suitable for selection (light green guardant). </w:t>
      </w:r>
    </w:p>
    <w:p w:rsidR="002F77EC" w:rsidRDefault="002F77EC" w:rsidP="00316F9D">
      <w:pPr>
        <w:spacing w:after="0" w:line="240" w:lineRule="auto"/>
        <w:jc w:val="both"/>
        <w:rPr>
          <w:rFonts w:ascii="Arial" w:hAnsi="Arial" w:cs="Arial"/>
          <w:sz w:val="24"/>
          <w:szCs w:val="24"/>
          <w:highlight w:val="red"/>
          <w:lang w:val="en-US"/>
        </w:rPr>
      </w:pPr>
    </w:p>
    <w:p w:rsidR="003C2377" w:rsidRPr="003C2377" w:rsidRDefault="003C2377" w:rsidP="00316F9D">
      <w:pPr>
        <w:spacing w:after="0" w:line="240" w:lineRule="auto"/>
        <w:jc w:val="both"/>
        <w:rPr>
          <w:rFonts w:ascii="Arial" w:hAnsi="Arial" w:cs="Arial"/>
          <w:color w:val="4F81BD" w:themeColor="accent1"/>
          <w:sz w:val="24"/>
          <w:szCs w:val="24"/>
          <w:lang w:val="en-US"/>
        </w:rPr>
      </w:pPr>
      <w:r w:rsidRPr="003C2377">
        <w:rPr>
          <w:rFonts w:ascii="Arial" w:hAnsi="Arial" w:cs="Arial"/>
          <w:color w:val="4F81BD" w:themeColor="accent1"/>
          <w:sz w:val="24"/>
          <w:szCs w:val="24"/>
          <w:lang w:val="en-US"/>
        </w:rPr>
        <w:t>Scoring Sy</w:t>
      </w:r>
      <w:r>
        <w:rPr>
          <w:rFonts w:ascii="Arial" w:hAnsi="Arial" w:cs="Arial"/>
          <w:color w:val="4F81BD" w:themeColor="accent1"/>
          <w:sz w:val="24"/>
          <w:szCs w:val="24"/>
          <w:lang w:val="en-US"/>
        </w:rPr>
        <w:t>s</w:t>
      </w:r>
      <w:r w:rsidRPr="003C2377">
        <w:rPr>
          <w:rFonts w:ascii="Arial" w:hAnsi="Arial" w:cs="Arial"/>
          <w:color w:val="4F81BD" w:themeColor="accent1"/>
          <w:sz w:val="24"/>
          <w:szCs w:val="24"/>
          <w:lang w:val="en-US"/>
        </w:rPr>
        <w:t>tem</w:t>
      </w:r>
    </w:p>
    <w:p w:rsidR="00635500" w:rsidRPr="0012781F" w:rsidRDefault="0012781F"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In addition, </w:t>
      </w:r>
      <w:r w:rsidR="00531EC4">
        <w:rPr>
          <w:rFonts w:ascii="Arial" w:hAnsi="Arial" w:cs="Arial"/>
          <w:sz w:val="24"/>
          <w:szCs w:val="24"/>
          <w:lang w:val="en-US"/>
        </w:rPr>
        <w:t xml:space="preserve">as shown in annex 1, the OSs should also make use of </w:t>
      </w:r>
      <w:r w:rsidR="007A2A1A">
        <w:rPr>
          <w:rFonts w:ascii="Arial" w:hAnsi="Arial" w:cs="Arial"/>
          <w:sz w:val="24"/>
          <w:szCs w:val="24"/>
          <w:lang w:val="en-US"/>
        </w:rPr>
        <w:t xml:space="preserve">a </w:t>
      </w:r>
      <w:r w:rsidR="00531EC4">
        <w:rPr>
          <w:rFonts w:ascii="Arial" w:hAnsi="Arial" w:cs="Arial"/>
          <w:sz w:val="24"/>
          <w:szCs w:val="24"/>
          <w:lang w:val="en-US"/>
        </w:rPr>
        <w:t>ranking table</w:t>
      </w:r>
      <w:r w:rsidR="007A032F" w:rsidRPr="0012781F">
        <w:rPr>
          <w:rFonts w:ascii="Arial" w:hAnsi="Arial" w:cs="Arial"/>
          <w:sz w:val="24"/>
          <w:szCs w:val="24"/>
          <w:lang w:val="en-US"/>
        </w:rPr>
        <w:t xml:space="preserve"> </w:t>
      </w:r>
      <w:r w:rsidR="00635500" w:rsidRPr="0012781F">
        <w:rPr>
          <w:rFonts w:ascii="Arial" w:hAnsi="Arial" w:cs="Arial"/>
          <w:sz w:val="24"/>
          <w:szCs w:val="24"/>
          <w:lang w:val="en-US"/>
        </w:rPr>
        <w:t xml:space="preserve">of project ideas, scored according to some </w:t>
      </w:r>
      <w:r w:rsidR="00CC0C41" w:rsidRPr="0012781F">
        <w:rPr>
          <w:rFonts w:ascii="Arial" w:hAnsi="Arial" w:cs="Arial"/>
          <w:sz w:val="24"/>
          <w:szCs w:val="24"/>
          <w:lang w:val="en-US"/>
        </w:rPr>
        <w:t xml:space="preserve">pre-defined and non-discriminatory </w:t>
      </w:r>
      <w:r w:rsidR="00635500" w:rsidRPr="0012781F">
        <w:rPr>
          <w:rFonts w:ascii="Arial" w:hAnsi="Arial" w:cs="Arial"/>
          <w:sz w:val="24"/>
          <w:szCs w:val="24"/>
          <w:lang w:val="en-US"/>
        </w:rPr>
        <w:t>criteria similar to the risk assessment presented f</w:t>
      </w:r>
      <w:r w:rsidR="007A032F" w:rsidRPr="0012781F">
        <w:rPr>
          <w:rFonts w:ascii="Arial" w:hAnsi="Arial" w:cs="Arial"/>
          <w:sz w:val="24"/>
          <w:szCs w:val="24"/>
          <w:lang w:val="en-US"/>
        </w:rPr>
        <w:t>or the workload analysis</w:t>
      </w:r>
      <w:r w:rsidR="00531EC4">
        <w:rPr>
          <w:rFonts w:ascii="Arial" w:hAnsi="Arial" w:cs="Arial"/>
          <w:sz w:val="24"/>
          <w:szCs w:val="24"/>
          <w:lang w:val="en-US"/>
        </w:rPr>
        <w:t xml:space="preserve"> of the JTSs</w:t>
      </w:r>
      <w:r w:rsidR="007A032F" w:rsidRPr="0012781F">
        <w:rPr>
          <w:rFonts w:ascii="Arial" w:hAnsi="Arial" w:cs="Arial"/>
          <w:sz w:val="24"/>
          <w:szCs w:val="24"/>
          <w:lang w:val="en-US"/>
        </w:rPr>
        <w:t>. This table will comprise of the following criteria (three criteria</w:t>
      </w:r>
      <w:r w:rsidR="00BD20C8" w:rsidRPr="0012781F">
        <w:rPr>
          <w:rFonts w:ascii="Arial" w:hAnsi="Arial" w:cs="Arial"/>
          <w:sz w:val="24"/>
          <w:szCs w:val="24"/>
          <w:lang w:val="en-US"/>
        </w:rPr>
        <w:t xml:space="preserve"> </w:t>
      </w:r>
      <w:r w:rsidR="00531EC4">
        <w:rPr>
          <w:rFonts w:ascii="Arial" w:hAnsi="Arial" w:cs="Arial"/>
          <w:sz w:val="24"/>
          <w:szCs w:val="24"/>
          <w:lang w:val="en-US"/>
        </w:rPr>
        <w:t>display</w:t>
      </w:r>
      <w:r w:rsidR="00BD20C8" w:rsidRPr="0012781F">
        <w:rPr>
          <w:rFonts w:ascii="Arial" w:hAnsi="Arial" w:cs="Arial"/>
          <w:sz w:val="24"/>
          <w:szCs w:val="24"/>
          <w:lang w:val="en-US"/>
        </w:rPr>
        <w:t xml:space="preserve"> a weight factor higher than one):</w:t>
      </w:r>
    </w:p>
    <w:p w:rsidR="009E637C" w:rsidRPr="007A2A1A" w:rsidRDefault="009E637C" w:rsidP="00531EC4">
      <w:pPr>
        <w:spacing w:after="0" w:line="240" w:lineRule="auto"/>
        <w:jc w:val="both"/>
        <w:rPr>
          <w:rFonts w:ascii="Arial" w:hAnsi="Arial" w:cs="Arial"/>
          <w:sz w:val="24"/>
          <w:szCs w:val="24"/>
          <w:lang w:val="en-US"/>
        </w:rPr>
      </w:pPr>
    </w:p>
    <w:p w:rsidR="007A032F" w:rsidRPr="007A2A1A" w:rsidRDefault="007A032F" w:rsidP="005C2C7B">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CBC Impact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w:t>
      </w:r>
    </w:p>
    <w:p w:rsidR="007A032F" w:rsidRPr="007A2A1A" w:rsidRDefault="007A032F" w:rsidP="004947C3">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No of population benefiting, or area covered</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Maturity - Readiness for implementation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Relevance to thematic priorities and/or macro-regional strategies</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Complementarity and sustainability (contribution to national</w:t>
      </w:r>
      <w:r w:rsidR="007A2A1A">
        <w:rPr>
          <w:rFonts w:ascii="Arial" w:hAnsi="Arial" w:cs="Arial"/>
          <w:sz w:val="24"/>
          <w:szCs w:val="24"/>
          <w:lang w:val="en-US"/>
        </w:rPr>
        <w:t>,</w:t>
      </w:r>
      <w:r w:rsidRPr="007A2A1A">
        <w:rPr>
          <w:rFonts w:ascii="Arial" w:hAnsi="Arial" w:cs="Arial"/>
          <w:sz w:val="24"/>
          <w:szCs w:val="24"/>
          <w:lang w:val="en-US"/>
        </w:rPr>
        <w:t xml:space="preserve"> regional and/or local strategies</w:t>
      </w:r>
      <w:r w:rsidR="007A2A1A">
        <w:rPr>
          <w:rFonts w:ascii="Arial" w:hAnsi="Arial" w:cs="Arial"/>
          <w:sz w:val="24"/>
          <w:szCs w:val="24"/>
          <w:lang w:val="en-US"/>
        </w:rPr>
        <w:t>)</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 xml:space="preserve">Complexity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 (</w:t>
      </w:r>
      <w:r w:rsidRPr="007A2A1A">
        <w:rPr>
          <w:rFonts w:ascii="Arial" w:hAnsi="Arial" w:cs="Arial"/>
          <w:i/>
          <w:sz w:val="24"/>
          <w:szCs w:val="24"/>
          <w:lang w:val="en-US"/>
        </w:rPr>
        <w:t>if applicable</w:t>
      </w:r>
      <w:r w:rsidRPr="007A2A1A">
        <w:rPr>
          <w:rFonts w:ascii="Arial" w:hAnsi="Arial" w:cs="Arial"/>
          <w:sz w:val="24"/>
          <w:szCs w:val="24"/>
          <w:lang w:val="en-US"/>
        </w:rPr>
        <w:t>)</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Cost</w:t>
      </w:r>
      <w:r w:rsidR="00531EC4" w:rsidRPr="007A2A1A">
        <w:rPr>
          <w:rFonts w:ascii="Arial" w:hAnsi="Arial" w:cs="Arial"/>
          <w:sz w:val="24"/>
          <w:szCs w:val="24"/>
          <w:lang w:val="en-US"/>
        </w:rPr>
        <w:t>-</w:t>
      </w:r>
      <w:r w:rsidRPr="007A2A1A">
        <w:rPr>
          <w:rFonts w:ascii="Arial" w:hAnsi="Arial" w:cs="Arial"/>
          <w:sz w:val="24"/>
          <w:szCs w:val="24"/>
          <w:lang w:val="en-US"/>
        </w:rPr>
        <w:t>effectiveness (value for money)</w:t>
      </w:r>
    </w:p>
    <w:p w:rsidR="007A032F" w:rsidRPr="007A2A1A" w:rsidRDefault="007A032F">
      <w:pPr>
        <w:pStyle w:val="ListParagraph"/>
        <w:numPr>
          <w:ilvl w:val="0"/>
          <w:numId w:val="42"/>
        </w:numPr>
        <w:spacing w:after="0" w:line="240" w:lineRule="auto"/>
        <w:jc w:val="both"/>
        <w:rPr>
          <w:rFonts w:ascii="Arial" w:hAnsi="Arial" w:cs="Arial"/>
          <w:sz w:val="24"/>
          <w:szCs w:val="24"/>
          <w:lang w:val="en-US"/>
        </w:rPr>
      </w:pPr>
      <w:r w:rsidRPr="007A2A1A">
        <w:rPr>
          <w:rFonts w:ascii="Arial" w:hAnsi="Arial" w:cs="Arial"/>
          <w:sz w:val="24"/>
          <w:szCs w:val="24"/>
          <w:lang w:val="en-US"/>
        </w:rPr>
        <w:t>Level of beneficiary financial contribution</w:t>
      </w:r>
    </w:p>
    <w:p w:rsidR="00635500" w:rsidRPr="007A2A1A" w:rsidRDefault="00635500">
      <w:pPr>
        <w:spacing w:after="0" w:line="240" w:lineRule="auto"/>
        <w:jc w:val="both"/>
        <w:rPr>
          <w:rFonts w:ascii="Arial" w:hAnsi="Arial" w:cs="Arial"/>
          <w:sz w:val="24"/>
          <w:szCs w:val="24"/>
          <w:lang w:val="en-US"/>
        </w:rPr>
      </w:pPr>
    </w:p>
    <w:p w:rsidR="00531EC4" w:rsidRDefault="00531EC4">
      <w:pPr>
        <w:spacing w:after="0" w:line="240" w:lineRule="auto"/>
        <w:jc w:val="both"/>
        <w:rPr>
          <w:rFonts w:ascii="Arial" w:hAnsi="Arial" w:cs="Arial"/>
          <w:sz w:val="24"/>
          <w:szCs w:val="24"/>
          <w:lang w:val="en-US"/>
        </w:rPr>
      </w:pPr>
      <w:r>
        <w:rPr>
          <w:rFonts w:ascii="Arial" w:hAnsi="Arial" w:cs="Arial"/>
          <w:sz w:val="24"/>
          <w:szCs w:val="24"/>
          <w:lang w:val="en-US"/>
        </w:rPr>
        <w:t>The s</w:t>
      </w:r>
      <w:r w:rsidR="005D0C08">
        <w:rPr>
          <w:rFonts w:ascii="Arial" w:hAnsi="Arial" w:cs="Arial"/>
          <w:sz w:val="24"/>
          <w:szCs w:val="24"/>
          <w:lang w:val="en-US"/>
        </w:rPr>
        <w:t>uggested scores</w:t>
      </w:r>
      <w:r w:rsidR="00BD20C8" w:rsidRPr="00531EC4">
        <w:rPr>
          <w:rFonts w:ascii="Arial" w:hAnsi="Arial" w:cs="Arial"/>
          <w:sz w:val="24"/>
          <w:szCs w:val="24"/>
          <w:lang w:val="en-US"/>
        </w:rPr>
        <w:t xml:space="preserve"> for each of the proposed criteria are</w:t>
      </w:r>
      <w:r w:rsidR="007742C5" w:rsidRPr="00531EC4">
        <w:rPr>
          <w:rFonts w:ascii="Arial" w:hAnsi="Arial" w:cs="Arial"/>
          <w:sz w:val="24"/>
          <w:szCs w:val="24"/>
          <w:lang w:val="en-US"/>
        </w:rPr>
        <w:t xml:space="preserve">: </w:t>
      </w:r>
    </w:p>
    <w:p w:rsidR="00531EC4" w:rsidRDefault="00A01C52">
      <w:pPr>
        <w:pStyle w:val="ListParagraph"/>
        <w:numPr>
          <w:ilvl w:val="0"/>
          <w:numId w:val="46"/>
        </w:numPr>
        <w:spacing w:after="0" w:line="240" w:lineRule="auto"/>
        <w:jc w:val="both"/>
        <w:rPr>
          <w:rFonts w:ascii="Arial" w:hAnsi="Arial" w:cs="Arial"/>
          <w:sz w:val="24"/>
          <w:szCs w:val="24"/>
          <w:lang w:val="en-US"/>
        </w:rPr>
      </w:pPr>
      <w:r w:rsidRPr="00531EC4">
        <w:rPr>
          <w:rFonts w:ascii="Arial" w:hAnsi="Arial" w:cs="Arial"/>
          <w:sz w:val="24"/>
          <w:szCs w:val="24"/>
          <w:lang w:val="en-US"/>
        </w:rPr>
        <w:t>High: 5</w:t>
      </w:r>
      <w:r w:rsidR="007742C5" w:rsidRPr="00531EC4">
        <w:rPr>
          <w:rFonts w:ascii="Arial" w:hAnsi="Arial" w:cs="Arial"/>
          <w:sz w:val="24"/>
          <w:szCs w:val="24"/>
          <w:lang w:val="en-US"/>
        </w:rPr>
        <w:t xml:space="preserve"> </w:t>
      </w:r>
    </w:p>
    <w:p w:rsidR="00531EC4" w:rsidRDefault="00A01C52">
      <w:pPr>
        <w:pStyle w:val="ListParagraph"/>
        <w:numPr>
          <w:ilvl w:val="0"/>
          <w:numId w:val="46"/>
        </w:numPr>
        <w:spacing w:after="0" w:line="240" w:lineRule="auto"/>
        <w:jc w:val="both"/>
        <w:rPr>
          <w:rFonts w:ascii="Arial" w:hAnsi="Arial" w:cs="Arial"/>
          <w:sz w:val="24"/>
          <w:szCs w:val="24"/>
          <w:lang w:val="en-US"/>
        </w:rPr>
      </w:pPr>
      <w:r w:rsidRPr="00531EC4">
        <w:rPr>
          <w:rFonts w:ascii="Arial" w:hAnsi="Arial" w:cs="Arial"/>
          <w:sz w:val="24"/>
          <w:szCs w:val="24"/>
          <w:lang w:val="en-US"/>
        </w:rPr>
        <w:t>Medium: 3</w:t>
      </w:r>
      <w:r w:rsidR="00635500" w:rsidRPr="00531EC4">
        <w:rPr>
          <w:rFonts w:ascii="Arial" w:hAnsi="Arial" w:cs="Arial"/>
          <w:sz w:val="24"/>
          <w:szCs w:val="24"/>
          <w:lang w:val="en-US"/>
        </w:rPr>
        <w:t xml:space="preserve"> </w:t>
      </w:r>
    </w:p>
    <w:p w:rsidR="00B81185" w:rsidRPr="00531EC4" w:rsidRDefault="00635500">
      <w:pPr>
        <w:pStyle w:val="ListParagraph"/>
        <w:numPr>
          <w:ilvl w:val="0"/>
          <w:numId w:val="46"/>
        </w:numPr>
        <w:spacing w:after="0" w:line="240" w:lineRule="auto"/>
        <w:jc w:val="both"/>
        <w:rPr>
          <w:rFonts w:ascii="Arial" w:hAnsi="Arial" w:cs="Arial"/>
          <w:sz w:val="24"/>
          <w:szCs w:val="24"/>
          <w:lang w:val="en-US"/>
        </w:rPr>
      </w:pPr>
      <w:r w:rsidRPr="00531EC4">
        <w:rPr>
          <w:rFonts w:ascii="Arial" w:hAnsi="Arial" w:cs="Arial"/>
          <w:sz w:val="24"/>
          <w:szCs w:val="24"/>
          <w:lang w:val="en-US"/>
        </w:rPr>
        <w:lastRenderedPageBreak/>
        <w:t>Low: 1</w:t>
      </w:r>
    </w:p>
    <w:p w:rsidR="00BD20C8" w:rsidRPr="00531EC4" w:rsidRDefault="00BD20C8">
      <w:pPr>
        <w:spacing w:after="0" w:line="240" w:lineRule="auto"/>
        <w:jc w:val="both"/>
        <w:rPr>
          <w:rFonts w:ascii="Arial" w:hAnsi="Arial" w:cs="Arial"/>
          <w:sz w:val="24"/>
          <w:szCs w:val="24"/>
          <w:lang w:val="en-US"/>
        </w:rPr>
      </w:pPr>
    </w:p>
    <w:p w:rsidR="00BD20C8" w:rsidRDefault="00B81185" w:rsidP="00531EC4">
      <w:pPr>
        <w:jc w:val="both"/>
        <w:rPr>
          <w:rFonts w:ascii="Arial" w:hAnsi="Arial" w:cs="Arial"/>
          <w:sz w:val="24"/>
          <w:szCs w:val="24"/>
          <w:lang w:val="en-US"/>
        </w:rPr>
      </w:pPr>
      <w:r w:rsidRPr="00531EC4">
        <w:rPr>
          <w:rFonts w:ascii="Arial" w:hAnsi="Arial" w:cs="Arial"/>
          <w:sz w:val="24"/>
          <w:szCs w:val="24"/>
          <w:lang w:val="en-US"/>
        </w:rPr>
        <w:t xml:space="preserve">In case </w:t>
      </w:r>
      <w:r w:rsidR="00531EC4">
        <w:rPr>
          <w:rFonts w:ascii="Arial" w:hAnsi="Arial" w:cs="Arial"/>
          <w:sz w:val="24"/>
          <w:szCs w:val="24"/>
          <w:lang w:val="en-US"/>
        </w:rPr>
        <w:t>the OSs o</w:t>
      </w:r>
      <w:r w:rsidR="005D0C08">
        <w:rPr>
          <w:rFonts w:ascii="Arial" w:hAnsi="Arial" w:cs="Arial"/>
          <w:sz w:val="24"/>
          <w:szCs w:val="24"/>
          <w:lang w:val="en-US"/>
        </w:rPr>
        <w:t xml:space="preserve">pt for applying only </w:t>
      </w:r>
      <w:r w:rsidRPr="00531EC4">
        <w:rPr>
          <w:rFonts w:ascii="Arial" w:hAnsi="Arial" w:cs="Arial"/>
          <w:sz w:val="24"/>
          <w:szCs w:val="24"/>
          <w:lang w:val="en-US"/>
        </w:rPr>
        <w:t>three basic parameters</w:t>
      </w:r>
      <w:r w:rsidR="00531EC4">
        <w:rPr>
          <w:rFonts w:ascii="Arial" w:hAnsi="Arial" w:cs="Arial"/>
          <w:sz w:val="24"/>
          <w:szCs w:val="24"/>
          <w:lang w:val="en-US"/>
        </w:rPr>
        <w:t xml:space="preserve"> </w:t>
      </w:r>
      <w:r w:rsidR="00531EC4" w:rsidRPr="00531EC4">
        <w:rPr>
          <w:rFonts w:ascii="Arial" w:hAnsi="Arial" w:cs="Arial"/>
          <w:sz w:val="24"/>
          <w:szCs w:val="24"/>
          <w:lang w:val="en-US"/>
        </w:rPr>
        <w:t xml:space="preserve">(CBC </w:t>
      </w:r>
      <w:r w:rsidR="005D0C08">
        <w:rPr>
          <w:rFonts w:ascii="Arial" w:hAnsi="Arial" w:cs="Arial"/>
          <w:sz w:val="24"/>
          <w:szCs w:val="24"/>
          <w:lang w:val="en-US"/>
        </w:rPr>
        <w:t>impact, maturity and complexity</w:t>
      </w:r>
      <w:r w:rsidR="00531EC4" w:rsidRPr="00531EC4">
        <w:rPr>
          <w:rFonts w:ascii="Arial" w:hAnsi="Arial" w:cs="Arial"/>
          <w:sz w:val="24"/>
          <w:szCs w:val="24"/>
          <w:lang w:val="en-US"/>
        </w:rPr>
        <w:t>)</w:t>
      </w:r>
      <w:r w:rsidR="005D0C08">
        <w:rPr>
          <w:rFonts w:ascii="Arial" w:hAnsi="Arial" w:cs="Arial"/>
          <w:sz w:val="24"/>
          <w:szCs w:val="24"/>
          <w:lang w:val="en-US"/>
        </w:rPr>
        <w:t xml:space="preserve"> when</w:t>
      </w:r>
      <w:r w:rsidR="00531EC4">
        <w:rPr>
          <w:rFonts w:ascii="Arial" w:hAnsi="Arial" w:cs="Arial"/>
          <w:sz w:val="24"/>
          <w:szCs w:val="24"/>
          <w:lang w:val="en-US"/>
        </w:rPr>
        <w:t xml:space="preserve"> selecting</w:t>
      </w:r>
      <w:r w:rsidRPr="00531EC4">
        <w:rPr>
          <w:rFonts w:ascii="Arial" w:hAnsi="Arial" w:cs="Arial"/>
          <w:sz w:val="24"/>
          <w:szCs w:val="24"/>
          <w:lang w:val="en-US"/>
        </w:rPr>
        <w:t xml:space="preserve"> a project</w:t>
      </w:r>
      <w:r w:rsidR="00531EC4">
        <w:rPr>
          <w:rFonts w:ascii="Arial" w:hAnsi="Arial" w:cs="Arial"/>
          <w:sz w:val="24"/>
          <w:szCs w:val="24"/>
          <w:lang w:val="en-US"/>
        </w:rPr>
        <w:t>,</w:t>
      </w:r>
      <w:r w:rsidRPr="00531EC4">
        <w:rPr>
          <w:rFonts w:ascii="Arial" w:hAnsi="Arial" w:cs="Arial"/>
          <w:sz w:val="24"/>
          <w:szCs w:val="24"/>
          <w:lang w:val="en-US"/>
        </w:rPr>
        <w:t xml:space="preserve"> a 3D model can be used as</w:t>
      </w:r>
      <w:r w:rsidR="00531EC4">
        <w:rPr>
          <w:rFonts w:ascii="Arial" w:hAnsi="Arial" w:cs="Arial"/>
          <w:sz w:val="24"/>
          <w:szCs w:val="24"/>
          <w:lang w:val="en-US"/>
        </w:rPr>
        <w:t xml:space="preserve"> in the figure</w:t>
      </w:r>
      <w:r w:rsidRPr="00531EC4">
        <w:rPr>
          <w:rFonts w:ascii="Arial" w:hAnsi="Arial" w:cs="Arial"/>
          <w:sz w:val="24"/>
          <w:szCs w:val="24"/>
          <w:lang w:val="en-US"/>
        </w:rPr>
        <w:t xml:space="preserve"> below.</w:t>
      </w:r>
    </w:p>
    <w:p w:rsidR="00BD20C8" w:rsidRDefault="00BD20C8" w:rsidP="00BD20C8">
      <w:pPr>
        <w:rPr>
          <w:rFonts w:ascii="Arial" w:hAnsi="Arial" w:cs="Arial"/>
          <w:sz w:val="24"/>
          <w:szCs w:val="24"/>
          <w:lang w:val="en-US"/>
        </w:rPr>
      </w:pPr>
      <w:r w:rsidRPr="00BD20C8">
        <w:rPr>
          <w:rFonts w:ascii="Arial" w:hAnsi="Arial" w:cs="Arial"/>
          <w:noProof/>
          <w:sz w:val="24"/>
          <w:szCs w:val="24"/>
          <w:lang w:val="en-US"/>
        </w:rPr>
        <w:drawing>
          <wp:inline distT="0" distB="0" distL="0" distR="0">
            <wp:extent cx="5010912" cy="3423514"/>
            <wp:effectExtent l="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83463" cy="5028932"/>
                      <a:chOff x="1568624" y="1484784"/>
                      <a:chExt cx="6983463" cy="5028932"/>
                    </a:xfrm>
                  </a:grpSpPr>
                  <a:grpSp>
                    <a:nvGrpSpPr>
                      <a:cNvPr id="36" name="Group 35"/>
                      <a:cNvGrpSpPr/>
                    </a:nvGrpSpPr>
                    <a:grpSpPr>
                      <a:xfrm>
                        <a:off x="1568624" y="1484784"/>
                        <a:ext cx="6983463" cy="5028932"/>
                        <a:chOff x="2144688" y="764704"/>
                        <a:chExt cx="6983463" cy="5028932"/>
                      </a:xfrm>
                    </a:grpSpPr>
                    <a:sp>
                      <a:nvSpPr>
                        <a:cNvPr id="178179" name="Text Box 2"/>
                        <a:cNvSpPr txBox="1">
                          <a:spLocks noChangeArrowheads="1"/>
                        </a:cNvSpPr>
                      </a:nvSpPr>
                      <a:spPr bwMode="auto">
                        <a:xfrm>
                          <a:off x="2438400" y="3071813"/>
                          <a:ext cx="592138" cy="323850"/>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a:t>High</a:t>
                            </a:r>
                          </a:p>
                        </a:txBody>
                        <a:useSpRect/>
                      </a:txSp>
                    </a:sp>
                    <a:sp>
                      <a:nvSpPr>
                        <a:cNvPr id="178180" name="Text Box 3"/>
                        <a:cNvSpPr txBox="1">
                          <a:spLocks noChangeArrowheads="1"/>
                        </a:cNvSpPr>
                      </a:nvSpPr>
                      <a:spPr bwMode="auto">
                        <a:xfrm>
                          <a:off x="2465388" y="4349750"/>
                          <a:ext cx="541337" cy="323850"/>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a:t>Low</a:t>
                            </a:r>
                          </a:p>
                        </a:txBody>
                        <a:useSpRect/>
                      </a:txSp>
                    </a:sp>
                    <a:sp>
                      <a:nvSpPr>
                        <a:cNvPr id="178181" name="Text Box 4"/>
                        <a:cNvSpPr txBox="1">
                          <a:spLocks noChangeArrowheads="1"/>
                        </a:cNvSpPr>
                      </a:nvSpPr>
                      <a:spPr bwMode="auto">
                        <a:xfrm>
                          <a:off x="3593040" y="5226469"/>
                          <a:ext cx="522818"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dirty="0"/>
                              <a:t>L</a:t>
                            </a:r>
                            <a:r>
                              <a:rPr lang="en-US" sz="1700" b="1" dirty="0" smtClean="0"/>
                              <a:t>ow</a:t>
                            </a:r>
                            <a:endParaRPr lang="en-US" sz="1700" b="1" dirty="0"/>
                          </a:p>
                        </a:txBody>
                        <a:useSpRect/>
                      </a:txSp>
                    </a:sp>
                    <a:sp>
                      <a:nvSpPr>
                        <a:cNvPr id="178182" name="Text Box 5"/>
                        <a:cNvSpPr txBox="1">
                          <a:spLocks noChangeArrowheads="1"/>
                        </a:cNvSpPr>
                      </a:nvSpPr>
                      <a:spPr bwMode="auto">
                        <a:xfrm>
                          <a:off x="5025527" y="5226469"/>
                          <a:ext cx="570908"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dirty="0" smtClean="0"/>
                              <a:t>High</a:t>
                            </a:r>
                            <a:endParaRPr lang="en-US" sz="1700" b="1" dirty="0"/>
                          </a:p>
                        </a:txBody>
                        <a:useSpRect/>
                      </a:txSp>
                    </a:sp>
                    <a:sp>
                      <a:nvSpPr>
                        <a:cNvPr id="178183" name="Text Box 6"/>
                        <a:cNvSpPr txBox="1">
                          <a:spLocks noChangeArrowheads="1"/>
                        </a:cNvSpPr>
                      </a:nvSpPr>
                      <a:spPr bwMode="auto">
                        <a:xfrm>
                          <a:off x="4808984" y="764704"/>
                          <a:ext cx="558084"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spcBef>
                                <a:spcPct val="50000"/>
                              </a:spcBef>
                            </a:pPr>
                            <a:r>
                              <a:rPr lang="en-US" sz="1700" b="1" dirty="0" smtClean="0"/>
                              <a:t>CBC</a:t>
                            </a:r>
                            <a:endParaRPr lang="en-US" sz="1700" b="1" dirty="0"/>
                          </a:p>
                        </a:txBody>
                        <a:useSpRect/>
                      </a:txSp>
                    </a:sp>
                    <a:sp>
                      <a:nvSpPr>
                        <a:cNvPr id="178184" name="Text Box 7"/>
                        <a:cNvSpPr txBox="1">
                          <a:spLocks noChangeArrowheads="1"/>
                        </a:cNvSpPr>
                      </a:nvSpPr>
                      <a:spPr bwMode="auto">
                        <a:xfrm>
                          <a:off x="8193360" y="3212976"/>
                          <a:ext cx="934791"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spcBef>
                                <a:spcPct val="50000"/>
                              </a:spcBef>
                            </a:pPr>
                            <a:r>
                              <a:rPr lang="en-US" sz="1700" b="1" dirty="0" smtClean="0"/>
                              <a:t>Maturity</a:t>
                            </a:r>
                            <a:endParaRPr lang="en-US" sz="1700" b="1" dirty="0"/>
                          </a:p>
                        </a:txBody>
                        <a:useSpRect/>
                      </a:txSp>
                    </a:sp>
                    <a:sp>
                      <a:nvSpPr>
                        <a:cNvPr id="178185" name="Text Box 8"/>
                        <a:cNvSpPr txBox="1">
                          <a:spLocks noChangeArrowheads="1"/>
                        </a:cNvSpPr>
                      </a:nvSpPr>
                      <a:spPr bwMode="auto">
                        <a:xfrm>
                          <a:off x="7185248" y="4365104"/>
                          <a:ext cx="570908"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dirty="0" smtClean="0"/>
                              <a:t>High</a:t>
                            </a:r>
                            <a:endParaRPr lang="en-US" sz="1700" b="1" dirty="0"/>
                          </a:p>
                        </a:txBody>
                        <a:useSpRect/>
                      </a:txSp>
                    </a:sp>
                    <a:sp>
                      <a:nvSpPr>
                        <a:cNvPr id="178186" name="Text Box 9"/>
                        <a:cNvSpPr txBox="1">
                          <a:spLocks noChangeArrowheads="1"/>
                        </a:cNvSpPr>
                      </a:nvSpPr>
                      <a:spPr bwMode="auto">
                        <a:xfrm>
                          <a:off x="6580716" y="4981994"/>
                          <a:ext cx="522818"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dirty="0" smtClean="0"/>
                              <a:t>Low</a:t>
                            </a:r>
                            <a:endParaRPr lang="en-US" sz="1700" b="1" dirty="0"/>
                          </a:p>
                        </a:txBody>
                        <a:useSpRect/>
                      </a:txSp>
                    </a:sp>
                    <a:sp>
                      <a:nvSpPr>
                        <a:cNvPr id="178188" name="AutoShape 11"/>
                        <a:cNvSpPr>
                          <a:spLocks noChangeArrowheads="1"/>
                        </a:cNvSpPr>
                      </a:nvSpPr>
                      <a:spPr bwMode="auto">
                        <a:xfrm>
                          <a:off x="3657600" y="3016250"/>
                          <a:ext cx="1941513" cy="1741488"/>
                        </a:xfrm>
                        <a:prstGeom prst="cube">
                          <a:avLst>
                            <a:gd name="adj" fmla="val 25000"/>
                          </a:avLst>
                        </a:prstGeom>
                        <a:solidFill>
                          <a:srgbClr val="FFBF1F"/>
                        </a:solidFill>
                        <a:ln w="12700">
                          <a:solidFill>
                            <a:srgbClr val="000000"/>
                          </a:solidFill>
                          <a:miter lim="800000"/>
                          <a:headEnd type="none" w="sm" len="sm"/>
                          <a:tailEnd type="none" w="sm" len="sm"/>
                        </a:ln>
                        <a:effectLst/>
                      </a:spPr>
                      <a:txSp>
                        <a:txBody>
                          <a:bodyPr wrap="none" lIns="42981" tIns="42981" rIns="42981" bIns="42981"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a:solidFill>
                                  <a:srgbClr val="000000"/>
                                </a:solidFill>
                              </a:rPr>
                              <a:t>Quadrant 3</a:t>
                            </a:r>
                          </a:p>
                        </a:txBody>
                        <a:useSpRect/>
                      </a:txSp>
                    </a:sp>
                    <a:sp>
                      <a:nvSpPr>
                        <a:cNvPr id="178189" name="AutoShape 12"/>
                        <a:cNvSpPr>
                          <a:spLocks noChangeArrowheads="1"/>
                        </a:cNvSpPr>
                      </a:nvSpPr>
                      <a:spPr bwMode="auto">
                        <a:xfrm>
                          <a:off x="5105400" y="3016250"/>
                          <a:ext cx="1941513" cy="1741488"/>
                        </a:xfrm>
                        <a:prstGeom prst="cube">
                          <a:avLst>
                            <a:gd name="adj" fmla="val 25000"/>
                          </a:avLst>
                        </a:prstGeom>
                        <a:solidFill>
                          <a:srgbClr val="808080"/>
                        </a:solidFill>
                        <a:ln w="12700">
                          <a:solidFill>
                            <a:srgbClr val="000000"/>
                          </a:solidFill>
                          <a:miter lim="800000"/>
                          <a:headEnd type="none" w="sm" len="sm"/>
                          <a:tailEnd type="none" w="sm" len="sm"/>
                        </a:ln>
                        <a:effectLst/>
                      </a:spPr>
                      <a:txSp>
                        <a:txBody>
                          <a:bodyPr wrap="none" lIns="42981" tIns="42981" rIns="42981" bIns="42981"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700" b="1">
                                <a:solidFill>
                                  <a:srgbClr val="FFFFFF"/>
                                </a:solidFill>
                              </a:rPr>
                              <a:t>Quadrant 4</a:t>
                            </a:r>
                          </a:p>
                        </a:txBody>
                        <a:useSpRect/>
                      </a:txSp>
                    </a:sp>
                    <a:sp>
                      <a:nvSpPr>
                        <a:cNvPr id="178190" name="AutoShape 13"/>
                        <a:cNvSpPr>
                          <a:spLocks noChangeArrowheads="1"/>
                        </a:cNvSpPr>
                      </a:nvSpPr>
                      <a:spPr bwMode="auto">
                        <a:xfrm>
                          <a:off x="3657600" y="1703388"/>
                          <a:ext cx="1941513" cy="1743075"/>
                        </a:xfrm>
                        <a:prstGeom prst="cube">
                          <a:avLst>
                            <a:gd name="adj" fmla="val 25000"/>
                          </a:avLst>
                        </a:prstGeom>
                        <a:gradFill rotWithShape="0">
                          <a:gsLst>
                            <a:gs pos="0">
                              <a:srgbClr val="FF2D4B"/>
                            </a:gs>
                            <a:gs pos="100000">
                              <a:srgbClr val="820041"/>
                            </a:gs>
                          </a:gsLst>
                          <a:lin ang="0" scaled="1"/>
                        </a:gradFill>
                        <a:ln w="3175">
                          <a:solidFill>
                            <a:srgbClr val="000000"/>
                          </a:solidFill>
                          <a:miter lim="800000"/>
                          <a:headEnd type="none" w="sm" len="sm"/>
                          <a:tailEnd type="none" w="sm" len="sm"/>
                        </a:ln>
                        <a:effectLst/>
                      </a:spPr>
                      <a:txSp>
                        <a:txBody>
                          <a:bodyPr wrap="none" lIns="95779" tIns="47890" rIns="95779" bIns="47890"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958850" eaLnBrk="0" hangingPunct="0"/>
                            <a:r>
                              <a:rPr lang="en-US" sz="1700" b="1">
                                <a:solidFill>
                                  <a:srgbClr val="FFFFFF"/>
                                </a:solidFill>
                              </a:rPr>
                              <a:t>Quadrant 1</a:t>
                            </a:r>
                          </a:p>
                        </a:txBody>
                        <a:useSpRect/>
                      </a:txSp>
                    </a:sp>
                    <a:sp>
                      <a:nvSpPr>
                        <a:cNvPr id="178191" name="AutoShape 14"/>
                        <a:cNvSpPr>
                          <a:spLocks noChangeArrowheads="1"/>
                        </a:cNvSpPr>
                      </a:nvSpPr>
                      <a:spPr bwMode="auto">
                        <a:xfrm>
                          <a:off x="5105400" y="1703388"/>
                          <a:ext cx="1941513" cy="1743075"/>
                        </a:xfrm>
                        <a:prstGeom prst="cube">
                          <a:avLst>
                            <a:gd name="adj" fmla="val 25000"/>
                          </a:avLst>
                        </a:prstGeom>
                        <a:solidFill>
                          <a:srgbClr val="FFC000"/>
                        </a:solidFill>
                        <a:ln w="12700">
                          <a:solidFill>
                            <a:srgbClr val="000000"/>
                          </a:solidFill>
                          <a:miter lim="800000"/>
                          <a:headEnd type="none" w="sm" len="sm"/>
                          <a:tailEnd type="none" w="sm" len="sm"/>
                        </a:ln>
                        <a:effectLst/>
                      </a:spPr>
                      <a:txSp>
                        <a:txBody>
                          <a:bodyPr wrap="none" lIns="42981" tIns="42981" rIns="42981" bIns="42981"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r>
                              <a:rPr lang="en-US" sz="1300" b="1">
                                <a:solidFill>
                                  <a:srgbClr val="FFFFFF"/>
                                </a:solidFill>
                              </a:rPr>
                              <a:t>Quadrant 2</a:t>
                            </a:r>
                          </a:p>
                        </a:txBody>
                        <a:useSpRect/>
                      </a:txSp>
                    </a:sp>
                    <a:sp>
                      <a:nvSpPr>
                        <a:cNvPr id="178192" name="AutoShape 15"/>
                        <a:cNvSpPr>
                          <a:spLocks noChangeArrowheads="1"/>
                        </a:cNvSpPr>
                      </a:nvSpPr>
                      <a:spPr bwMode="auto">
                        <a:xfrm>
                          <a:off x="3168650" y="3451225"/>
                          <a:ext cx="1941513" cy="1743075"/>
                        </a:xfrm>
                        <a:prstGeom prst="cube">
                          <a:avLst>
                            <a:gd name="adj" fmla="val 25000"/>
                          </a:avLst>
                        </a:prstGeom>
                        <a:solidFill>
                          <a:srgbClr val="FF0000"/>
                        </a:solidFill>
                        <a:ln w="3175">
                          <a:solidFill>
                            <a:srgbClr val="000000"/>
                          </a:solidFill>
                          <a:miter lim="800000"/>
                          <a:headEnd type="none" w="sm" len="sm"/>
                          <a:tailEnd type="none" w="sm" len="sm"/>
                        </a:ln>
                        <a:effectLst/>
                      </a:spPr>
                      <a:txSp>
                        <a:txBody>
                          <a:bodyPr wrap="none" lIns="95779" tIns="47890" rIns="95779" bIns="47890"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958850" eaLnBrk="0" hangingPunct="0"/>
                            <a:r>
                              <a:rPr lang="en-US" sz="1700" b="1">
                                <a:solidFill>
                                  <a:schemeClr val="bg2"/>
                                </a:solidFill>
                              </a:rPr>
                              <a:t>Quadrant 3</a:t>
                            </a:r>
                          </a:p>
                        </a:txBody>
                        <a:useSpRect/>
                      </a:txSp>
                    </a:sp>
                    <a:sp>
                      <a:nvSpPr>
                        <a:cNvPr id="178193" name="AutoShape 16"/>
                        <a:cNvSpPr>
                          <a:spLocks noChangeArrowheads="1"/>
                        </a:cNvSpPr>
                      </a:nvSpPr>
                      <a:spPr bwMode="auto">
                        <a:xfrm>
                          <a:off x="4664968" y="3429000"/>
                          <a:ext cx="1941513" cy="1743075"/>
                        </a:xfrm>
                        <a:prstGeom prst="cube">
                          <a:avLst>
                            <a:gd name="adj" fmla="val 25000"/>
                          </a:avLst>
                        </a:prstGeom>
                        <a:gradFill rotWithShape="0">
                          <a:gsLst>
                            <a:gs pos="0">
                              <a:srgbClr val="DDDDDD"/>
                            </a:gs>
                            <a:gs pos="100000">
                              <a:srgbClr val="808080"/>
                            </a:gs>
                          </a:gsLst>
                          <a:lin ang="0" scaled="1"/>
                        </a:gradFill>
                        <a:ln w="3175">
                          <a:solidFill>
                            <a:srgbClr val="000000"/>
                          </a:solidFill>
                          <a:miter lim="800000"/>
                          <a:headEnd type="none" w="sm" len="sm"/>
                          <a:tailEnd type="none" w="sm" len="sm"/>
                        </a:ln>
                        <a:effectLst/>
                      </a:spPr>
                      <a:txSp>
                        <a:txBody>
                          <a:bodyPr wrap="none" lIns="95779" tIns="47890" rIns="95779" bIns="47890"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958850" eaLnBrk="0" hangingPunct="0"/>
                            <a:r>
                              <a:rPr lang="en-US" sz="1700" b="1">
                                <a:solidFill>
                                  <a:srgbClr val="000000"/>
                                </a:solidFill>
                              </a:rPr>
                              <a:t>Quadrant 4</a:t>
                            </a:r>
                          </a:p>
                        </a:txBody>
                        <a:useSpRect/>
                      </a:txSp>
                    </a:sp>
                    <a:sp>
                      <a:nvSpPr>
                        <a:cNvPr id="178194" name="AutoShape 17"/>
                        <a:cNvSpPr>
                          <a:spLocks noChangeArrowheads="1"/>
                        </a:cNvSpPr>
                      </a:nvSpPr>
                      <a:spPr bwMode="auto">
                        <a:xfrm>
                          <a:off x="3170238" y="2138363"/>
                          <a:ext cx="1941512" cy="1743075"/>
                        </a:xfrm>
                        <a:prstGeom prst="cube">
                          <a:avLst>
                            <a:gd name="adj" fmla="val 25000"/>
                          </a:avLst>
                        </a:prstGeom>
                        <a:solidFill>
                          <a:srgbClr val="FFC000"/>
                        </a:solidFill>
                        <a:ln w="3175">
                          <a:solidFill>
                            <a:srgbClr val="000000"/>
                          </a:solidFill>
                          <a:miter lim="800000"/>
                          <a:headEnd type="none" w="sm" len="sm"/>
                          <a:tailEnd type="none" w="sm" len="sm"/>
                        </a:ln>
                        <a:effectLst/>
                      </a:spPr>
                      <a:txSp>
                        <a:txBody>
                          <a:bodyPr wrap="none" lIns="95779" tIns="47890" rIns="95779" bIns="47890"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958850" eaLnBrk="0" hangingPunct="0"/>
                            <a:r>
                              <a:rPr lang="en-US" sz="1700" b="1">
                                <a:solidFill>
                                  <a:srgbClr val="FFFFFF"/>
                                </a:solidFill>
                              </a:rPr>
                              <a:t>Quadrant 1</a:t>
                            </a:r>
                          </a:p>
                        </a:txBody>
                        <a:useSpRect/>
                      </a:txSp>
                    </a:sp>
                    <a:sp>
                      <a:nvSpPr>
                        <a:cNvPr id="178195" name="AutoShape 18"/>
                        <a:cNvSpPr>
                          <a:spLocks noChangeArrowheads="1"/>
                        </a:cNvSpPr>
                      </a:nvSpPr>
                      <a:spPr bwMode="auto">
                        <a:xfrm>
                          <a:off x="4664968" y="2132856"/>
                          <a:ext cx="1941512" cy="1743075"/>
                        </a:xfrm>
                        <a:prstGeom prst="cube">
                          <a:avLst>
                            <a:gd name="adj" fmla="val 25000"/>
                          </a:avLst>
                        </a:prstGeom>
                        <a:solidFill>
                          <a:srgbClr val="92D050"/>
                        </a:solidFill>
                        <a:ln w="3175">
                          <a:solidFill>
                            <a:srgbClr val="000000"/>
                          </a:solidFill>
                          <a:miter lim="800000"/>
                          <a:headEnd type="none" w="sm" len="sm"/>
                          <a:tailEnd type="none" w="sm" len="sm"/>
                        </a:ln>
                        <a:effectLst/>
                      </a:spPr>
                      <a:txSp>
                        <a:txBody>
                          <a:bodyPr wrap="none" lIns="95779" tIns="47890" rIns="95779" bIns="47890" anchor="ct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958850" eaLnBrk="0" hangingPunct="0"/>
                            <a:r>
                              <a:rPr lang="en-US" sz="1700" b="1" dirty="0">
                                <a:solidFill>
                                  <a:srgbClr val="FFFFFF"/>
                                </a:solidFill>
                              </a:rPr>
                              <a:t>Quadrant 2</a:t>
                            </a:r>
                          </a:p>
                        </a:txBody>
                        <a:useSpRect/>
                      </a:txSp>
                    </a:sp>
                    <a:sp>
                      <a:nvSpPr>
                        <a:cNvPr id="21" name="Text Box 7"/>
                        <a:cNvSpPr txBox="1">
                          <a:spLocks noChangeArrowheads="1"/>
                        </a:cNvSpPr>
                      </a:nvSpPr>
                      <a:spPr bwMode="auto">
                        <a:xfrm>
                          <a:off x="2144688" y="5445224"/>
                          <a:ext cx="1263407" cy="348412"/>
                        </a:xfrm>
                        <a:prstGeom prst="rect">
                          <a:avLst/>
                        </a:prstGeom>
                        <a:noFill/>
                        <a:ln w="12700">
                          <a:noFill/>
                          <a:miter lim="800000"/>
                          <a:headEnd type="none" w="sm" len="sm"/>
                          <a:tailEnd type="none" w="sm" len="sm"/>
                        </a:ln>
                        <a:effectLst/>
                      </a:spPr>
                      <a:txSp>
                        <a:txBody>
                          <a:bodyPr wrap="none" lIns="42981" tIns="42981" rIns="42981" bIns="42981" anchor="ctr">
                            <a:spAutoFit/>
                          </a:bodyPr>
                          <a:lstStyle>
                            <a:defPPr>
                              <a:defRPr lang="en-GB"/>
                            </a:defPPr>
                            <a:lvl1pPr algn="l" rtl="0" fontAlgn="base">
                              <a:spcBef>
                                <a:spcPct val="0"/>
                              </a:spcBef>
                              <a:spcAft>
                                <a:spcPct val="0"/>
                              </a:spcAft>
                              <a:defRPr sz="2400" kern="1200">
                                <a:solidFill>
                                  <a:schemeClr val="tx1"/>
                                </a:solidFill>
                                <a:latin typeface="Arial" charset="0"/>
                                <a:ea typeface="+mn-ea"/>
                                <a:cs typeface="+mn-cs"/>
                              </a:defRPr>
                            </a:lvl1pPr>
                            <a:lvl2pPr marL="457200" algn="l" rtl="0" fontAlgn="base">
                              <a:spcBef>
                                <a:spcPct val="0"/>
                              </a:spcBef>
                              <a:spcAft>
                                <a:spcPct val="0"/>
                              </a:spcAft>
                              <a:defRPr sz="2400" kern="1200">
                                <a:solidFill>
                                  <a:schemeClr val="tx1"/>
                                </a:solidFill>
                                <a:latin typeface="Arial" charset="0"/>
                                <a:ea typeface="+mn-ea"/>
                                <a:cs typeface="+mn-cs"/>
                              </a:defRPr>
                            </a:lvl2pPr>
                            <a:lvl3pPr marL="914400" algn="l" rtl="0" fontAlgn="base">
                              <a:spcBef>
                                <a:spcPct val="0"/>
                              </a:spcBef>
                              <a:spcAft>
                                <a:spcPct val="0"/>
                              </a:spcAft>
                              <a:defRPr sz="2400" kern="1200">
                                <a:solidFill>
                                  <a:schemeClr val="tx1"/>
                                </a:solidFill>
                                <a:latin typeface="Arial" charset="0"/>
                                <a:ea typeface="+mn-ea"/>
                                <a:cs typeface="+mn-cs"/>
                              </a:defRPr>
                            </a:lvl3pPr>
                            <a:lvl4pPr marL="1371600" algn="l" rtl="0" fontAlgn="base">
                              <a:spcBef>
                                <a:spcPct val="0"/>
                              </a:spcBef>
                              <a:spcAft>
                                <a:spcPct val="0"/>
                              </a:spcAft>
                              <a:defRPr sz="2400" kern="1200">
                                <a:solidFill>
                                  <a:schemeClr val="tx1"/>
                                </a:solidFill>
                                <a:latin typeface="Arial" charset="0"/>
                                <a:ea typeface="+mn-ea"/>
                                <a:cs typeface="+mn-cs"/>
                              </a:defRPr>
                            </a:lvl4pPr>
                            <a:lvl5pPr marL="1828800" algn="l"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defTabSz="858838" eaLnBrk="0" hangingPunct="0">
                              <a:spcBef>
                                <a:spcPct val="50000"/>
                              </a:spcBef>
                            </a:pPr>
                            <a:r>
                              <a:rPr lang="en-US" sz="1700" b="1" dirty="0" smtClean="0"/>
                              <a:t>Complexity</a:t>
                            </a:r>
                            <a:endParaRPr lang="en-US" sz="1700" b="1" dirty="0"/>
                          </a:p>
                        </a:txBody>
                        <a:useSpRect/>
                      </a:txSp>
                    </a:sp>
                    <a:cxnSp>
                      <a:nvCxnSpPr>
                        <a:cNvPr id="23" name="Straight Arrow Connector 22"/>
                        <a:cNvCxnSpPr/>
                      </a:nvCxnSpPr>
                      <a:spPr>
                        <a:xfrm>
                          <a:off x="5169024" y="3429000"/>
                          <a:ext cx="2808312" cy="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flipV="1">
                          <a:off x="5097016" y="1124744"/>
                          <a:ext cx="0" cy="2304256"/>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flipH="1">
                          <a:off x="3008784" y="3429000"/>
                          <a:ext cx="2088232" cy="1944216"/>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nvCxnSpPr>
                      <a:spPr>
                        <a:xfrm flipH="1">
                          <a:off x="3152800" y="3429000"/>
                          <a:ext cx="2016224" cy="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a:off x="5097016" y="3429000"/>
                          <a:ext cx="0" cy="18002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flipV="1">
                          <a:off x="5097016" y="1844824"/>
                          <a:ext cx="1584176" cy="1584176"/>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BD20C8" w:rsidRDefault="00BD20C8" w:rsidP="00BD20C8">
      <w:pPr>
        <w:rPr>
          <w:rFonts w:ascii="Arial" w:hAnsi="Arial" w:cs="Arial"/>
          <w:sz w:val="24"/>
          <w:szCs w:val="24"/>
          <w:lang w:val="en-US"/>
        </w:rPr>
      </w:pPr>
    </w:p>
    <w:p w:rsidR="006C2F69" w:rsidRDefault="00531EC4" w:rsidP="00531EC4">
      <w:pPr>
        <w:jc w:val="both"/>
        <w:rPr>
          <w:rFonts w:ascii="Arial" w:hAnsi="Arial" w:cs="Arial"/>
          <w:sz w:val="24"/>
          <w:szCs w:val="24"/>
          <w:lang w:val="en-US"/>
        </w:rPr>
      </w:pPr>
      <w:r>
        <w:rPr>
          <w:rFonts w:ascii="Arial" w:hAnsi="Arial" w:cs="Arial"/>
          <w:sz w:val="24"/>
          <w:szCs w:val="24"/>
          <w:lang w:val="en-US"/>
        </w:rPr>
        <w:t>A worksheet in E</w:t>
      </w:r>
      <w:r w:rsidR="00BD20C8" w:rsidRPr="00531EC4">
        <w:rPr>
          <w:rFonts w:ascii="Arial" w:hAnsi="Arial" w:cs="Arial"/>
          <w:sz w:val="24"/>
          <w:szCs w:val="24"/>
          <w:lang w:val="en-US"/>
        </w:rPr>
        <w:t xml:space="preserve">xcel </w:t>
      </w:r>
      <w:r w:rsidR="00BD20C8" w:rsidRPr="00C6388A">
        <w:rPr>
          <w:rFonts w:ascii="Arial" w:hAnsi="Arial" w:cs="Arial"/>
          <w:sz w:val="24"/>
          <w:szCs w:val="24"/>
          <w:lang w:val="en-US"/>
        </w:rPr>
        <w:t>(</w:t>
      </w:r>
      <w:r w:rsidR="00C6388A" w:rsidRPr="00C6388A">
        <w:rPr>
          <w:rFonts w:ascii="Arial" w:hAnsi="Arial" w:cs="Arial"/>
          <w:sz w:val="24"/>
          <w:szCs w:val="24"/>
          <w:lang w:val="en-US"/>
        </w:rPr>
        <w:t>please see Annex 3</w:t>
      </w:r>
      <w:r>
        <w:rPr>
          <w:rFonts w:ascii="Arial" w:hAnsi="Arial" w:cs="Arial"/>
          <w:sz w:val="24"/>
          <w:szCs w:val="24"/>
          <w:lang w:val="en-US"/>
        </w:rPr>
        <w:t>)</w:t>
      </w:r>
      <w:r w:rsidR="00BD20C8" w:rsidRPr="00531EC4">
        <w:rPr>
          <w:rFonts w:ascii="Arial" w:hAnsi="Arial" w:cs="Arial"/>
          <w:sz w:val="24"/>
          <w:szCs w:val="24"/>
          <w:lang w:val="en-US"/>
        </w:rPr>
        <w:t xml:space="preserve"> will be available </w:t>
      </w:r>
      <w:r>
        <w:rPr>
          <w:rFonts w:ascii="Arial" w:hAnsi="Arial" w:cs="Arial"/>
          <w:sz w:val="24"/>
          <w:szCs w:val="24"/>
          <w:lang w:val="en-US"/>
        </w:rPr>
        <w:t xml:space="preserve">for </w:t>
      </w:r>
      <w:r w:rsidR="005D0C08">
        <w:rPr>
          <w:rFonts w:ascii="Arial" w:hAnsi="Arial" w:cs="Arial"/>
          <w:sz w:val="24"/>
          <w:szCs w:val="24"/>
          <w:lang w:val="en-US"/>
        </w:rPr>
        <w:t xml:space="preserve">ranking the strategic projects. If </w:t>
      </w:r>
      <w:r w:rsidR="00BD20C8" w:rsidRPr="00531EC4">
        <w:rPr>
          <w:rFonts w:ascii="Arial" w:hAnsi="Arial" w:cs="Arial"/>
          <w:sz w:val="24"/>
          <w:szCs w:val="24"/>
          <w:lang w:val="en-US"/>
        </w:rPr>
        <w:t xml:space="preserve">the 3D model </w:t>
      </w:r>
      <w:r w:rsidR="005D0C08">
        <w:rPr>
          <w:rFonts w:ascii="Arial" w:hAnsi="Arial" w:cs="Arial"/>
          <w:sz w:val="24"/>
          <w:szCs w:val="24"/>
          <w:lang w:val="en-US"/>
        </w:rPr>
        <w:t>is to be applied, a</w:t>
      </w:r>
      <w:r>
        <w:rPr>
          <w:rFonts w:ascii="Arial" w:hAnsi="Arial" w:cs="Arial"/>
          <w:sz w:val="24"/>
          <w:szCs w:val="24"/>
          <w:lang w:val="en-US"/>
        </w:rPr>
        <w:t>ll those p</w:t>
      </w:r>
      <w:r w:rsidR="00C91C07" w:rsidRPr="00531EC4">
        <w:rPr>
          <w:rFonts w:ascii="Arial" w:hAnsi="Arial" w:cs="Arial"/>
          <w:sz w:val="24"/>
          <w:szCs w:val="24"/>
          <w:lang w:val="en-US"/>
        </w:rPr>
        <w:t>rojects</w:t>
      </w:r>
      <w:r>
        <w:rPr>
          <w:rFonts w:ascii="Arial" w:hAnsi="Arial" w:cs="Arial"/>
          <w:sz w:val="24"/>
          <w:szCs w:val="24"/>
          <w:lang w:val="en-US"/>
        </w:rPr>
        <w:t>, after scoring, which have been placed</w:t>
      </w:r>
      <w:r w:rsidR="00C91C07" w:rsidRPr="00531EC4">
        <w:rPr>
          <w:rFonts w:ascii="Arial" w:hAnsi="Arial" w:cs="Arial"/>
          <w:sz w:val="24"/>
          <w:szCs w:val="24"/>
          <w:lang w:val="en-US"/>
        </w:rPr>
        <w:t xml:space="preserve"> in the green quadrant</w:t>
      </w:r>
      <w:r>
        <w:rPr>
          <w:rFonts w:ascii="Arial" w:hAnsi="Arial" w:cs="Arial"/>
          <w:sz w:val="24"/>
          <w:szCs w:val="24"/>
          <w:lang w:val="en-US"/>
        </w:rPr>
        <w:t>,</w:t>
      </w:r>
      <w:r w:rsidR="005D0C08">
        <w:rPr>
          <w:rFonts w:ascii="Arial" w:hAnsi="Arial" w:cs="Arial"/>
          <w:sz w:val="24"/>
          <w:szCs w:val="24"/>
          <w:lang w:val="en-US"/>
        </w:rPr>
        <w:t xml:space="preserve"> will be</w:t>
      </w:r>
      <w:r w:rsidR="00C91C07" w:rsidRPr="00531EC4">
        <w:rPr>
          <w:rFonts w:ascii="Arial" w:hAnsi="Arial" w:cs="Arial"/>
          <w:sz w:val="24"/>
          <w:szCs w:val="24"/>
          <w:lang w:val="en-US"/>
        </w:rPr>
        <w:t xml:space="preserve"> the </w:t>
      </w:r>
      <w:r>
        <w:rPr>
          <w:rFonts w:ascii="Arial" w:hAnsi="Arial" w:cs="Arial"/>
          <w:sz w:val="24"/>
          <w:szCs w:val="24"/>
          <w:lang w:val="en-US"/>
        </w:rPr>
        <w:t>most suitable</w:t>
      </w:r>
      <w:r w:rsidR="00C91C07" w:rsidRPr="00531EC4">
        <w:rPr>
          <w:rFonts w:ascii="Arial" w:hAnsi="Arial" w:cs="Arial"/>
          <w:sz w:val="24"/>
          <w:szCs w:val="24"/>
          <w:lang w:val="en-US"/>
        </w:rPr>
        <w:t xml:space="preserve"> ones.</w:t>
      </w:r>
    </w:p>
    <w:p w:rsidR="00751014" w:rsidRPr="00BD20C8" w:rsidRDefault="00EF063F" w:rsidP="00531EC4">
      <w:pPr>
        <w:jc w:val="both"/>
        <w:rPr>
          <w:rFonts w:ascii="Arial" w:hAnsi="Arial" w:cs="Arial"/>
          <w:sz w:val="24"/>
          <w:szCs w:val="24"/>
          <w:lang w:val="en-US"/>
        </w:rPr>
      </w:pPr>
      <w:r>
        <w:rPr>
          <w:rFonts w:ascii="Arial" w:hAnsi="Arial" w:cs="Arial"/>
          <w:sz w:val="24"/>
          <w:szCs w:val="24"/>
          <w:lang w:val="en-US"/>
        </w:rPr>
        <w:br w:type="page"/>
      </w:r>
    </w:p>
    <w:p w:rsidR="002D3A67" w:rsidRPr="00FD4F11" w:rsidRDefault="00FD4F11" w:rsidP="005C2C7B">
      <w:pPr>
        <w:pStyle w:val="Heading1"/>
        <w:rPr>
          <w:lang w:val="en-US"/>
        </w:rPr>
      </w:pPr>
      <w:bookmarkStart w:id="8" w:name="_Toc485980987"/>
      <w:r>
        <w:rPr>
          <w:lang w:val="en-US"/>
        </w:rPr>
        <w:lastRenderedPageBreak/>
        <w:t xml:space="preserve">5. </w:t>
      </w:r>
      <w:r w:rsidR="002D3A67" w:rsidRPr="00FD4F11">
        <w:rPr>
          <w:lang w:val="en-US"/>
        </w:rPr>
        <w:t>PROCUREMENT OF SERVICES, SUPPLIES AND WORKS</w:t>
      </w:r>
      <w:bookmarkEnd w:id="8"/>
    </w:p>
    <w:p w:rsidR="002D3A67" w:rsidRDefault="002D3A67" w:rsidP="002D3A67">
      <w:pPr>
        <w:spacing w:after="0" w:line="240" w:lineRule="auto"/>
        <w:jc w:val="both"/>
        <w:rPr>
          <w:rFonts w:ascii="Arial" w:hAnsi="Arial" w:cs="Arial"/>
          <w:sz w:val="24"/>
          <w:szCs w:val="24"/>
          <w:lang w:val="en-US"/>
        </w:rPr>
      </w:pPr>
    </w:p>
    <w:p w:rsidR="00036B0C" w:rsidRDefault="002D3A67" w:rsidP="00732137">
      <w:pPr>
        <w:spacing w:after="0" w:line="240" w:lineRule="auto"/>
        <w:jc w:val="both"/>
        <w:rPr>
          <w:rFonts w:ascii="Arial" w:hAnsi="Arial" w:cs="Arial"/>
          <w:sz w:val="24"/>
          <w:szCs w:val="24"/>
          <w:lang w:val="en-US"/>
        </w:rPr>
      </w:pPr>
      <w:r>
        <w:rPr>
          <w:rFonts w:ascii="Arial" w:hAnsi="Arial" w:cs="Arial"/>
          <w:sz w:val="24"/>
          <w:szCs w:val="24"/>
          <w:lang w:val="en-US"/>
        </w:rPr>
        <w:t>Irrespective of the path used by the contracting authority to fund strategic projects, there must not be any doubt on the full technical readiness of the beneficiaries to tender services, supplies and/or works without delay. Therefore, depending on the nature of what has to be procured, the OSs will have to prove to the JMC and later to the contracting authori</w:t>
      </w:r>
      <w:r w:rsidR="005C2C7B">
        <w:rPr>
          <w:rFonts w:ascii="Arial" w:hAnsi="Arial" w:cs="Arial"/>
          <w:sz w:val="24"/>
          <w:szCs w:val="24"/>
          <w:lang w:val="en-US"/>
        </w:rPr>
        <w:t>ty (and the DEU, when the contracting authority is not a body of the Commission</w:t>
      </w:r>
      <w:r>
        <w:rPr>
          <w:rFonts w:ascii="Arial" w:hAnsi="Arial" w:cs="Arial"/>
          <w:sz w:val="24"/>
          <w:szCs w:val="24"/>
          <w:lang w:val="en-US"/>
        </w:rPr>
        <w:t>)</w:t>
      </w:r>
      <w:r w:rsidR="00036B0C">
        <w:rPr>
          <w:rFonts w:ascii="Arial" w:hAnsi="Arial" w:cs="Arial"/>
          <w:sz w:val="24"/>
          <w:szCs w:val="24"/>
          <w:lang w:val="en-US"/>
        </w:rPr>
        <w:t xml:space="preserve"> that the beneficiaries of the strategic project have: </w:t>
      </w:r>
    </w:p>
    <w:p w:rsidR="00036B0C" w:rsidRDefault="00036B0C" w:rsidP="00732137">
      <w:pPr>
        <w:spacing w:after="0" w:line="240" w:lineRule="auto"/>
        <w:jc w:val="both"/>
        <w:rPr>
          <w:rFonts w:ascii="Arial" w:hAnsi="Arial" w:cs="Arial"/>
          <w:sz w:val="24"/>
          <w:szCs w:val="24"/>
          <w:lang w:val="en-US"/>
        </w:rPr>
      </w:pPr>
    </w:p>
    <w:tbl>
      <w:tblPr>
        <w:tblStyle w:val="TableGrid"/>
        <w:tblW w:w="5000" w:type="pct"/>
        <w:tblLook w:val="04A0"/>
      </w:tblPr>
      <w:tblGrid>
        <w:gridCol w:w="3082"/>
        <w:gridCol w:w="3081"/>
        <w:gridCol w:w="3079"/>
      </w:tblGrid>
      <w:tr w:rsidR="00A12DBD" w:rsidRPr="00A12DBD" w:rsidTr="00053327">
        <w:tc>
          <w:tcPr>
            <w:tcW w:w="5000" w:type="pct"/>
            <w:gridSpan w:val="3"/>
            <w:shd w:val="clear" w:color="auto" w:fill="1F497D" w:themeFill="text2"/>
          </w:tcPr>
          <w:p w:rsidR="00A12DBD" w:rsidRPr="00053327" w:rsidRDefault="00A12DBD" w:rsidP="00A12DBD">
            <w:pPr>
              <w:jc w:val="center"/>
              <w:rPr>
                <w:rFonts w:ascii="Arial Narrow" w:hAnsi="Arial Narrow" w:cs="Arial"/>
                <w:b/>
                <w:color w:val="FFFFFF" w:themeColor="background1"/>
                <w:sz w:val="24"/>
                <w:szCs w:val="24"/>
                <w:lang w:val="en-US"/>
              </w:rPr>
            </w:pPr>
            <w:r w:rsidRPr="00053327">
              <w:rPr>
                <w:rFonts w:ascii="Arial Narrow" w:hAnsi="Arial Narrow" w:cs="Arial"/>
                <w:b/>
                <w:color w:val="FFFFFF" w:themeColor="background1"/>
                <w:sz w:val="24"/>
                <w:szCs w:val="24"/>
                <w:lang w:val="en-US"/>
              </w:rPr>
              <w:t>Type of procurement</w:t>
            </w:r>
          </w:p>
          <w:p w:rsidR="004931FE" w:rsidRPr="00053327" w:rsidRDefault="004931FE" w:rsidP="00A12DBD">
            <w:pPr>
              <w:jc w:val="center"/>
              <w:rPr>
                <w:rFonts w:ascii="Arial Narrow" w:hAnsi="Arial Narrow" w:cs="Arial"/>
                <w:b/>
                <w:color w:val="FFFFFF" w:themeColor="background1"/>
                <w:sz w:val="18"/>
                <w:szCs w:val="18"/>
                <w:lang w:val="en-US"/>
              </w:rPr>
            </w:pPr>
          </w:p>
        </w:tc>
      </w:tr>
      <w:tr w:rsidR="004931FE" w:rsidRPr="00A12DBD" w:rsidTr="00053327">
        <w:tc>
          <w:tcPr>
            <w:tcW w:w="5000" w:type="pct"/>
            <w:gridSpan w:val="3"/>
            <w:shd w:val="clear" w:color="auto" w:fill="DBE5F1" w:themeFill="accent1" w:themeFillTint="33"/>
          </w:tcPr>
          <w:p w:rsidR="004931FE" w:rsidRPr="00000B25" w:rsidRDefault="000F0BE8" w:rsidP="00955499">
            <w:pPr>
              <w:rPr>
                <w:rFonts w:ascii="Arial Narrow" w:hAnsi="Arial Narrow" w:cs="Arial"/>
                <w:sz w:val="20"/>
                <w:szCs w:val="20"/>
                <w:lang w:val="en-US"/>
              </w:rPr>
            </w:pPr>
            <w:r w:rsidRPr="00000B25">
              <w:rPr>
                <w:rFonts w:ascii="Arial Narrow" w:hAnsi="Arial Narrow" w:cs="Arial"/>
                <w:sz w:val="20"/>
                <w:szCs w:val="20"/>
                <w:lang w:val="en-US"/>
              </w:rPr>
              <w:t>Respected the g</w:t>
            </w:r>
            <w:r w:rsidR="004931FE" w:rsidRPr="00000B25">
              <w:rPr>
                <w:rFonts w:ascii="Arial Narrow" w:hAnsi="Arial Narrow" w:cs="Arial"/>
                <w:sz w:val="20"/>
                <w:szCs w:val="20"/>
                <w:lang w:val="en-US"/>
              </w:rPr>
              <w:t xml:space="preserve">eneral principles: </w:t>
            </w:r>
          </w:p>
          <w:p w:rsidR="004931FE" w:rsidRPr="00000B25" w:rsidRDefault="004931FE" w:rsidP="00955499">
            <w:pPr>
              <w:pStyle w:val="ListParagraph"/>
              <w:numPr>
                <w:ilvl w:val="0"/>
                <w:numId w:val="26"/>
              </w:numPr>
              <w:rPr>
                <w:rFonts w:ascii="Arial Narrow" w:hAnsi="Arial Narrow" w:cs="Arial"/>
                <w:sz w:val="20"/>
                <w:szCs w:val="20"/>
                <w:lang w:val="en-US"/>
              </w:rPr>
            </w:pPr>
            <w:r w:rsidRPr="00000B25">
              <w:rPr>
                <w:rFonts w:ascii="Arial Narrow" w:hAnsi="Arial Narrow" w:cs="Arial"/>
                <w:sz w:val="20"/>
                <w:szCs w:val="20"/>
                <w:lang w:val="en-US"/>
              </w:rPr>
              <w:t>Equal access for candidates and tenderers</w:t>
            </w:r>
          </w:p>
          <w:p w:rsidR="004931FE" w:rsidRPr="00000B25" w:rsidRDefault="004931FE" w:rsidP="00955499">
            <w:pPr>
              <w:pStyle w:val="ListParagraph"/>
              <w:numPr>
                <w:ilvl w:val="0"/>
                <w:numId w:val="26"/>
              </w:numPr>
              <w:rPr>
                <w:rFonts w:ascii="Arial Narrow" w:hAnsi="Arial Narrow" w:cs="Arial"/>
                <w:sz w:val="20"/>
                <w:szCs w:val="20"/>
                <w:lang w:val="en-US"/>
              </w:rPr>
            </w:pPr>
            <w:r w:rsidRPr="00000B25">
              <w:rPr>
                <w:rFonts w:ascii="Arial Narrow" w:hAnsi="Arial Narrow" w:cs="Arial"/>
                <w:sz w:val="20"/>
                <w:szCs w:val="20"/>
                <w:lang w:val="en-US"/>
              </w:rPr>
              <w:t>Clearness and non-discrimination</w:t>
            </w:r>
          </w:p>
          <w:p w:rsidR="004931FE" w:rsidRPr="00053327" w:rsidRDefault="004931FE" w:rsidP="00955499">
            <w:pPr>
              <w:pStyle w:val="ListParagraph"/>
              <w:numPr>
                <w:ilvl w:val="0"/>
                <w:numId w:val="26"/>
              </w:numPr>
              <w:rPr>
                <w:rFonts w:ascii="Arial Narrow" w:hAnsi="Arial Narrow" w:cs="Arial"/>
                <w:sz w:val="20"/>
                <w:szCs w:val="20"/>
                <w:lang w:val="en-US"/>
              </w:rPr>
            </w:pPr>
            <w:r w:rsidRPr="00000B25">
              <w:rPr>
                <w:rFonts w:ascii="Arial Narrow" w:hAnsi="Arial Narrow" w:cs="Arial"/>
                <w:sz w:val="20"/>
                <w:szCs w:val="20"/>
                <w:lang w:val="en-US"/>
              </w:rPr>
              <w:t>Proportional</w:t>
            </w:r>
            <w:r w:rsidR="00953A0A">
              <w:rPr>
                <w:rFonts w:ascii="Arial Narrow" w:hAnsi="Arial Narrow" w:cs="Arial"/>
                <w:sz w:val="20"/>
                <w:szCs w:val="20"/>
                <w:lang w:val="en-US"/>
              </w:rPr>
              <w:t>ity</w:t>
            </w:r>
          </w:p>
        </w:tc>
      </w:tr>
      <w:tr w:rsidR="00A12DBD" w:rsidRPr="00A12DBD" w:rsidTr="00053327">
        <w:tc>
          <w:tcPr>
            <w:tcW w:w="1667"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 xml:space="preserve">Service </w:t>
            </w:r>
          </w:p>
          <w:p w:rsidR="00A12DBD" w:rsidRPr="00000B25" w:rsidRDefault="00A12DBD" w:rsidP="00955499">
            <w:pPr>
              <w:rPr>
                <w:rFonts w:ascii="Arial Narrow" w:hAnsi="Arial Narrow" w:cs="Arial"/>
                <w:sz w:val="20"/>
                <w:szCs w:val="20"/>
                <w:lang w:val="en-US"/>
              </w:rPr>
            </w:pPr>
            <w:r w:rsidRPr="00000B25">
              <w:rPr>
                <w:rFonts w:ascii="Arial Narrow" w:hAnsi="Arial Narrow" w:cs="Arial"/>
                <w:sz w:val="20"/>
                <w:szCs w:val="20"/>
                <w:lang w:val="en-US"/>
              </w:rPr>
              <w:t>(technical assistance, administrative and technical capacity building, studies, research, provision of know-how, provision of training, etc.)</w:t>
            </w:r>
          </w:p>
        </w:tc>
        <w:tc>
          <w:tcPr>
            <w:tcW w:w="1667"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Supplies</w:t>
            </w:r>
          </w:p>
          <w:p w:rsidR="00A12DBD" w:rsidRPr="00000B25" w:rsidRDefault="00A12DBD" w:rsidP="00955499">
            <w:pPr>
              <w:rPr>
                <w:rFonts w:ascii="Arial Narrow" w:hAnsi="Arial Narrow" w:cs="Arial"/>
                <w:sz w:val="20"/>
                <w:szCs w:val="20"/>
                <w:lang w:val="en-US"/>
              </w:rPr>
            </w:pPr>
            <w:r w:rsidRPr="00000B25">
              <w:rPr>
                <w:rFonts w:ascii="Arial Narrow" w:hAnsi="Arial Narrow" w:cs="Arial"/>
                <w:sz w:val="20"/>
                <w:szCs w:val="20"/>
                <w:lang w:val="en-US"/>
              </w:rPr>
              <w:t>(</w:t>
            </w:r>
            <w:r w:rsidRPr="00000B25">
              <w:rPr>
                <w:rFonts w:ascii="Arial Narrow" w:hAnsi="Arial Narrow" w:cs="Arial"/>
                <w:bCs/>
                <w:iCs/>
                <w:sz w:val="20"/>
                <w:szCs w:val="20"/>
              </w:rPr>
              <w:t>purchase</w:t>
            </w:r>
            <w:r w:rsidRPr="00000B25">
              <w:rPr>
                <w:rFonts w:ascii="Arial Narrow" w:hAnsi="Arial Narrow" w:cs="Arial"/>
                <w:bCs/>
                <w:sz w:val="20"/>
                <w:szCs w:val="20"/>
              </w:rPr>
              <w:t xml:space="preserve">, </w:t>
            </w:r>
            <w:r w:rsidRPr="00000B25">
              <w:rPr>
                <w:rFonts w:ascii="Arial Narrow" w:hAnsi="Arial Narrow" w:cs="Arial"/>
                <w:bCs/>
                <w:iCs/>
                <w:sz w:val="20"/>
                <w:szCs w:val="20"/>
              </w:rPr>
              <w:t>leasing, rental or hire</w:t>
            </w:r>
            <w:r w:rsidRPr="00000B25">
              <w:rPr>
                <w:rFonts w:ascii="Arial Narrow" w:hAnsi="Arial Narrow" w:cs="Arial"/>
                <w:iCs/>
                <w:sz w:val="20"/>
                <w:szCs w:val="20"/>
              </w:rPr>
              <w:t xml:space="preserve">, </w:t>
            </w:r>
            <w:r w:rsidRPr="00000B25">
              <w:rPr>
                <w:rFonts w:ascii="Arial Narrow" w:hAnsi="Arial Narrow" w:cs="Arial"/>
                <w:sz w:val="20"/>
                <w:szCs w:val="20"/>
              </w:rPr>
              <w:t>with or without option</w:t>
            </w:r>
            <w:r w:rsidRPr="00000B25">
              <w:rPr>
                <w:rFonts w:ascii="Arial Narrow" w:hAnsi="Arial Narrow" w:cs="Arial"/>
                <w:sz w:val="20"/>
                <w:szCs w:val="20"/>
                <w:lang w:val="en-US"/>
              </w:rPr>
              <w:t xml:space="preserve"> </w:t>
            </w:r>
            <w:r w:rsidRPr="00000B25">
              <w:rPr>
                <w:rFonts w:ascii="Arial Narrow" w:hAnsi="Arial Narrow" w:cs="Arial"/>
                <w:sz w:val="20"/>
                <w:szCs w:val="20"/>
              </w:rPr>
              <w:t xml:space="preserve">to buy, </w:t>
            </w:r>
            <w:r w:rsidRPr="00000B25">
              <w:rPr>
                <w:rFonts w:ascii="Arial Narrow" w:hAnsi="Arial Narrow" w:cs="Arial"/>
                <w:bCs/>
                <w:iCs/>
                <w:sz w:val="20"/>
                <w:szCs w:val="20"/>
              </w:rPr>
              <w:t>of products)</w:t>
            </w:r>
          </w:p>
        </w:tc>
        <w:tc>
          <w:tcPr>
            <w:tcW w:w="1666"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Works</w:t>
            </w:r>
          </w:p>
          <w:p w:rsidR="00361750" w:rsidRPr="00000B25" w:rsidRDefault="00361750" w:rsidP="00955499">
            <w:pPr>
              <w:rPr>
                <w:rFonts w:ascii="Arial Narrow" w:hAnsi="Arial Narrow" w:cs="Arial"/>
                <w:sz w:val="20"/>
                <w:szCs w:val="20"/>
                <w:lang w:val="en-US"/>
              </w:rPr>
            </w:pPr>
            <w:r w:rsidRPr="00000B25">
              <w:rPr>
                <w:rFonts w:ascii="Arial Narrow" w:hAnsi="Arial Narrow" w:cs="Arial"/>
                <w:sz w:val="20"/>
                <w:szCs w:val="20"/>
              </w:rPr>
              <w:t>(either the execution, or both</w:t>
            </w:r>
          </w:p>
          <w:p w:rsidR="00361750" w:rsidRPr="00361750" w:rsidRDefault="00361750" w:rsidP="00955499">
            <w:pPr>
              <w:rPr>
                <w:rFonts w:ascii="Arial Narrow" w:hAnsi="Arial Narrow" w:cs="Arial"/>
                <w:sz w:val="18"/>
                <w:szCs w:val="18"/>
                <w:lang w:val="en-US"/>
              </w:rPr>
            </w:pPr>
            <w:r w:rsidRPr="00000B25">
              <w:rPr>
                <w:rFonts w:ascii="Arial Narrow" w:hAnsi="Arial Narrow" w:cs="Arial"/>
                <w:sz w:val="20"/>
                <w:szCs w:val="20"/>
              </w:rPr>
              <w:t>the execution and design, of works or the realization,</w:t>
            </w:r>
            <w:r w:rsidRPr="00000B25">
              <w:rPr>
                <w:rFonts w:ascii="Arial Narrow" w:hAnsi="Arial Narrow" w:cs="Arial"/>
                <w:sz w:val="20"/>
                <w:szCs w:val="20"/>
                <w:lang w:val="en-US"/>
              </w:rPr>
              <w:t xml:space="preserve"> </w:t>
            </w:r>
            <w:r w:rsidRPr="00000B25">
              <w:rPr>
                <w:rFonts w:ascii="Arial Narrow" w:hAnsi="Arial Narrow" w:cs="Arial"/>
                <w:sz w:val="20"/>
                <w:szCs w:val="20"/>
              </w:rPr>
              <w:t>by whatever means, of a work corresponding to the</w:t>
            </w:r>
            <w:r w:rsidRPr="00000B25">
              <w:rPr>
                <w:rFonts w:ascii="Arial Narrow" w:hAnsi="Arial Narrow" w:cs="Arial"/>
                <w:sz w:val="20"/>
                <w:szCs w:val="20"/>
                <w:lang w:val="en-US"/>
              </w:rPr>
              <w:t xml:space="preserve"> </w:t>
            </w:r>
            <w:r w:rsidRPr="00000B25">
              <w:rPr>
                <w:rFonts w:ascii="Arial Narrow" w:hAnsi="Arial Narrow" w:cs="Arial"/>
                <w:sz w:val="20"/>
                <w:szCs w:val="20"/>
              </w:rPr>
              <w:t>requirements specified. A 'work' is the outcome of building or civil</w:t>
            </w:r>
            <w:r w:rsidRPr="00000B25">
              <w:rPr>
                <w:rFonts w:ascii="Arial Narrow" w:hAnsi="Arial Narrow" w:cs="Arial"/>
                <w:sz w:val="20"/>
                <w:szCs w:val="20"/>
                <w:lang w:val="en-US"/>
              </w:rPr>
              <w:t xml:space="preserve"> </w:t>
            </w:r>
            <w:r w:rsidRPr="00000B25">
              <w:rPr>
                <w:rFonts w:ascii="Arial Narrow" w:hAnsi="Arial Narrow" w:cs="Arial"/>
                <w:sz w:val="20"/>
                <w:szCs w:val="20"/>
              </w:rPr>
              <w:t>engineering works taken as a whole that is sufficient of itself to fulfil an economic or technical function)</w:t>
            </w:r>
          </w:p>
        </w:tc>
      </w:tr>
      <w:tr w:rsidR="00A12DBD" w:rsidRPr="00A12DBD" w:rsidTr="00053327">
        <w:tc>
          <w:tcPr>
            <w:tcW w:w="1667" w:type="pct"/>
            <w:shd w:val="clear" w:color="auto" w:fill="DBE5F1" w:themeFill="accent1" w:themeFillTint="33"/>
          </w:tcPr>
          <w:p w:rsidR="00A12DBD"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 xml:space="preserve">Terms of reference: </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Background information</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Contract purpose and expected results</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Assumptions and risks</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Scope of the work</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Logistics and timing</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Requirements (personnel, office premises, equipment, incidental expenditure)</w:t>
            </w:r>
          </w:p>
          <w:p w:rsidR="00A12DBD" w:rsidRPr="00000B25" w:rsidRDefault="00A12DBD" w:rsidP="00955499">
            <w:pPr>
              <w:pStyle w:val="ListParagraph"/>
              <w:numPr>
                <w:ilvl w:val="0"/>
                <w:numId w:val="34"/>
              </w:numPr>
              <w:rPr>
                <w:rFonts w:ascii="Arial Narrow" w:hAnsi="Arial Narrow" w:cs="Arial"/>
                <w:sz w:val="20"/>
                <w:szCs w:val="20"/>
                <w:lang w:val="en-US"/>
              </w:rPr>
            </w:pPr>
            <w:r w:rsidRPr="00000B25">
              <w:rPr>
                <w:rFonts w:ascii="Arial Narrow" w:hAnsi="Arial Narrow" w:cs="Arial"/>
                <w:sz w:val="20"/>
                <w:szCs w:val="20"/>
                <w:lang w:val="en-US"/>
              </w:rPr>
              <w:t xml:space="preserve">Reports </w:t>
            </w:r>
          </w:p>
          <w:p w:rsidR="00A12DBD" w:rsidRPr="00000B25" w:rsidRDefault="00A12DBD" w:rsidP="00955499">
            <w:pPr>
              <w:pStyle w:val="ListParagraph"/>
              <w:numPr>
                <w:ilvl w:val="0"/>
                <w:numId w:val="34"/>
              </w:numPr>
              <w:rPr>
                <w:rFonts w:ascii="Arial Narrow" w:hAnsi="Arial Narrow" w:cs="Arial"/>
                <w:sz w:val="18"/>
                <w:szCs w:val="18"/>
                <w:lang w:val="en-US"/>
              </w:rPr>
            </w:pPr>
            <w:r w:rsidRPr="00000B25">
              <w:rPr>
                <w:rFonts w:ascii="Arial Narrow" w:hAnsi="Arial Narrow" w:cs="Arial"/>
                <w:sz w:val="20"/>
                <w:szCs w:val="20"/>
                <w:lang w:val="en-US"/>
              </w:rPr>
              <w:t>Monitoring and evaluation</w:t>
            </w:r>
          </w:p>
        </w:tc>
        <w:tc>
          <w:tcPr>
            <w:tcW w:w="1667" w:type="pct"/>
            <w:shd w:val="clear" w:color="auto" w:fill="DBE5F1" w:themeFill="accent1" w:themeFillTint="33"/>
          </w:tcPr>
          <w:p w:rsidR="00A12DBD"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Technical specifications:</w:t>
            </w:r>
          </w:p>
          <w:p w:rsidR="00A10833" w:rsidRPr="00000B25" w:rsidRDefault="00A10833"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Only technical requirements of the supplies</w:t>
            </w:r>
            <w:r w:rsidR="00361750" w:rsidRPr="00000B25">
              <w:rPr>
                <w:rFonts w:ascii="Arial Narrow" w:hAnsi="Arial Narrow" w:cs="Arial"/>
                <w:sz w:val="20"/>
                <w:szCs w:val="20"/>
              </w:rPr>
              <w:t xml:space="preserve"> (quality levels, environmental performance, accessibility, levels of conformity assessment, fitness for use, safety and manuals of instructions, packaging, marking and labelling, production procedures and measures)</w:t>
            </w:r>
          </w:p>
          <w:p w:rsidR="00A10833" w:rsidRPr="00000B25" w:rsidRDefault="00A10833"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Well-defined (always minimum requirements)</w:t>
            </w:r>
          </w:p>
          <w:p w:rsidR="00A10833" w:rsidRPr="00000B25" w:rsidRDefault="00A10833"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Neutrality (no brand names</w:t>
            </w:r>
            <w:r w:rsidR="00361750" w:rsidRPr="00000B25">
              <w:rPr>
                <w:rFonts w:ascii="Arial Narrow" w:hAnsi="Arial Narrow" w:cs="Arial"/>
                <w:sz w:val="20"/>
                <w:szCs w:val="20"/>
              </w:rPr>
              <w:t xml:space="preserve"> or types that could limit competition</w:t>
            </w:r>
            <w:r w:rsidRPr="00000B25">
              <w:rPr>
                <w:rFonts w:ascii="Arial Narrow" w:hAnsi="Arial Narrow" w:cs="Arial"/>
                <w:sz w:val="20"/>
                <w:szCs w:val="20"/>
              </w:rPr>
              <w:t>)</w:t>
            </w:r>
          </w:p>
          <w:p w:rsidR="00A10833" w:rsidRPr="00000B25" w:rsidRDefault="00A10833"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References to standards/regulations</w:t>
            </w:r>
          </w:p>
          <w:p w:rsidR="00A10833" w:rsidRPr="00000B25" w:rsidRDefault="00A10833"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Will serve as the evaluator’s grid</w:t>
            </w:r>
          </w:p>
          <w:p w:rsidR="004931FE" w:rsidRPr="00000B25" w:rsidRDefault="004931FE"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lang w:val="en-US"/>
              </w:rPr>
              <w:t>Rule of origin</w:t>
            </w:r>
          </w:p>
          <w:p w:rsidR="00A12DBD" w:rsidRPr="00000B25" w:rsidRDefault="00176BAA" w:rsidP="00955499">
            <w:pPr>
              <w:rPr>
                <w:rFonts w:ascii="Arial Narrow" w:hAnsi="Arial Narrow" w:cs="Arial"/>
                <w:sz w:val="18"/>
                <w:szCs w:val="18"/>
                <w:lang w:val="en-US"/>
              </w:rPr>
            </w:pPr>
            <w:r w:rsidRPr="00000B25">
              <w:rPr>
                <w:rFonts w:ascii="Arial Narrow" w:hAnsi="Arial Narrow"/>
                <w:sz w:val="20"/>
                <w:szCs w:val="20"/>
              </w:rPr>
              <w:t>Where applicable, they also specify conditions for delivery and installation, training and after-sales service.</w:t>
            </w:r>
          </w:p>
        </w:tc>
        <w:tc>
          <w:tcPr>
            <w:tcW w:w="1666" w:type="pct"/>
            <w:shd w:val="clear" w:color="auto" w:fill="DBE5F1" w:themeFill="accent1" w:themeFillTint="33"/>
          </w:tcPr>
          <w:p w:rsidR="00361750"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Technical specifications</w:t>
            </w:r>
            <w:r w:rsidR="00361750" w:rsidRPr="00FA1E36">
              <w:rPr>
                <w:rFonts w:ascii="Arial Narrow" w:hAnsi="Arial Narrow" w:cs="Arial"/>
                <w:b/>
                <w:sz w:val="20"/>
                <w:szCs w:val="20"/>
                <w:lang w:val="en-US"/>
              </w:rPr>
              <w:t>:</w:t>
            </w:r>
            <w:r w:rsidRPr="00FA1E36">
              <w:rPr>
                <w:rFonts w:ascii="Arial Narrow" w:hAnsi="Arial Narrow" w:cs="Arial"/>
                <w:b/>
                <w:sz w:val="20"/>
                <w:szCs w:val="20"/>
                <w:lang w:val="en-US"/>
              </w:rPr>
              <w:t xml:space="preserve"> </w:t>
            </w:r>
          </w:p>
          <w:p w:rsidR="00176BAA" w:rsidRPr="00000B25" w:rsidRDefault="00176BAA"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 xml:space="preserve">Only technical requirements of the works (quality levels, environmental performance, accessibility criteria, levels and procedures of conformity assessment, fitness for use, safety and manuals of instructions, packaging, marking and labelling, production procedures and measures and finally </w:t>
            </w:r>
            <w:r w:rsidRPr="00000B25">
              <w:rPr>
                <w:rFonts w:ascii="Arial Narrow" w:hAnsi="Arial Narrow" w:cs="Calibri"/>
                <w:color w:val="000000"/>
                <w:sz w:val="20"/>
                <w:szCs w:val="20"/>
                <w:lang w:val="en-US"/>
              </w:rPr>
              <w:t xml:space="preserve">the procedures relating to quality assurance and the rules relating to design and costing, the test, inspection and acceptance conditions for works and methods or techniques of construction and all the other technical conditions which the </w:t>
            </w:r>
            <w:r w:rsidR="00460DB4" w:rsidRPr="00000B25">
              <w:rPr>
                <w:rFonts w:ascii="Arial Narrow" w:hAnsi="Arial Narrow" w:cs="Calibri"/>
                <w:color w:val="000000"/>
                <w:sz w:val="20"/>
                <w:szCs w:val="20"/>
                <w:lang w:val="en-US"/>
              </w:rPr>
              <w:t>beneficiaries</w:t>
            </w:r>
            <w:r w:rsidRPr="00000B25">
              <w:rPr>
                <w:rFonts w:ascii="Arial Narrow" w:hAnsi="Arial Narrow" w:cs="Calibri"/>
                <w:color w:val="000000"/>
                <w:sz w:val="20"/>
                <w:szCs w:val="20"/>
                <w:lang w:val="en-US"/>
              </w:rPr>
              <w:t xml:space="preserve"> may require under general or specific regulations in relation to the finished works and to the constituent materials or parts</w:t>
            </w:r>
            <w:r w:rsidR="00460DB4" w:rsidRPr="00000B25">
              <w:rPr>
                <w:rFonts w:ascii="Arial Narrow" w:hAnsi="Arial Narrow" w:cs="Calibri"/>
                <w:color w:val="000000"/>
                <w:sz w:val="20"/>
                <w:szCs w:val="20"/>
                <w:lang w:val="en-US"/>
              </w:rPr>
              <w:t>)</w:t>
            </w:r>
            <w:r w:rsidRPr="00000B25">
              <w:rPr>
                <w:rFonts w:ascii="Arial Narrow" w:hAnsi="Arial Narrow" w:cs="Calibri"/>
                <w:color w:val="000000"/>
                <w:sz w:val="20"/>
                <w:szCs w:val="20"/>
                <w:lang w:val="en-US"/>
              </w:rPr>
              <w:t xml:space="preserve"> </w:t>
            </w:r>
          </w:p>
          <w:p w:rsidR="001B60D9" w:rsidRPr="00000B25" w:rsidRDefault="001B60D9"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Well-defined (always minimum requirements)</w:t>
            </w:r>
          </w:p>
          <w:p w:rsidR="001B60D9" w:rsidRPr="00000B25" w:rsidRDefault="001B60D9"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Neutrality (no brand names or types that could limit competition)</w:t>
            </w:r>
          </w:p>
          <w:p w:rsidR="001B60D9" w:rsidRPr="00000B25" w:rsidRDefault="001B60D9"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References to standards/regulations</w:t>
            </w:r>
          </w:p>
          <w:p w:rsidR="001B60D9" w:rsidRPr="00000B25" w:rsidRDefault="001B60D9"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rPr>
              <w:t>Will serve as the evaluator’s grid</w:t>
            </w:r>
          </w:p>
          <w:p w:rsidR="001B60D9" w:rsidRPr="00000B25" w:rsidRDefault="001B60D9" w:rsidP="00955499">
            <w:pPr>
              <w:numPr>
                <w:ilvl w:val="0"/>
                <w:numId w:val="35"/>
              </w:numPr>
              <w:tabs>
                <w:tab w:val="num" w:pos="720"/>
              </w:tabs>
              <w:rPr>
                <w:rFonts w:ascii="Arial Narrow" w:hAnsi="Arial Narrow" w:cs="Arial"/>
                <w:sz w:val="20"/>
                <w:szCs w:val="20"/>
                <w:lang w:val="en-US"/>
              </w:rPr>
            </w:pPr>
            <w:r w:rsidRPr="00000B25">
              <w:rPr>
                <w:rFonts w:ascii="Arial Narrow" w:hAnsi="Arial Narrow" w:cs="Arial"/>
                <w:sz w:val="20"/>
                <w:szCs w:val="20"/>
                <w:lang w:val="en-US"/>
              </w:rPr>
              <w:t>Rule of origin</w:t>
            </w:r>
          </w:p>
          <w:p w:rsidR="001B60D9" w:rsidRPr="00000B25" w:rsidRDefault="001B60D9" w:rsidP="00955499">
            <w:pPr>
              <w:rPr>
                <w:rFonts w:ascii="Arial Narrow" w:hAnsi="Arial Narrow" w:cs="Calibri"/>
                <w:color w:val="000000"/>
                <w:sz w:val="20"/>
                <w:szCs w:val="20"/>
                <w:lang w:val="en-US"/>
              </w:rPr>
            </w:pPr>
          </w:p>
          <w:p w:rsidR="00460DB4" w:rsidRPr="00000B25" w:rsidRDefault="00460DB4" w:rsidP="00955499">
            <w:pPr>
              <w:rPr>
                <w:rFonts w:ascii="Arial Narrow" w:hAnsi="Arial Narrow" w:cs="Arial"/>
                <w:sz w:val="20"/>
                <w:szCs w:val="20"/>
                <w:lang w:val="en-US"/>
              </w:rPr>
            </w:pPr>
            <w:r w:rsidRPr="00000B25">
              <w:rPr>
                <w:rFonts w:ascii="Arial Narrow" w:hAnsi="Arial Narrow" w:cs="Calibri"/>
                <w:color w:val="000000"/>
                <w:sz w:val="20"/>
                <w:szCs w:val="20"/>
                <w:lang w:val="en-US"/>
              </w:rPr>
              <w:t>Information meetings or a site visit are recommended</w:t>
            </w:r>
          </w:p>
          <w:p w:rsidR="00A12DBD" w:rsidRPr="00000B25" w:rsidRDefault="00A12DBD" w:rsidP="00955499">
            <w:pPr>
              <w:rPr>
                <w:rFonts w:ascii="Arial Narrow" w:hAnsi="Arial Narrow" w:cs="Arial"/>
                <w:sz w:val="18"/>
                <w:szCs w:val="18"/>
                <w:lang w:val="en-US"/>
              </w:rPr>
            </w:pPr>
          </w:p>
        </w:tc>
      </w:tr>
    </w:tbl>
    <w:p w:rsidR="00732137" w:rsidRPr="004931FE" w:rsidRDefault="002D3A67" w:rsidP="00732137">
      <w:pPr>
        <w:spacing w:after="0" w:line="240" w:lineRule="auto"/>
        <w:jc w:val="both"/>
        <w:rPr>
          <w:rFonts w:ascii="Arial" w:hAnsi="Arial" w:cs="Arial"/>
          <w:sz w:val="24"/>
          <w:szCs w:val="24"/>
        </w:rPr>
      </w:pPr>
      <w:r>
        <w:rPr>
          <w:rFonts w:ascii="Arial" w:hAnsi="Arial" w:cs="Arial"/>
          <w:sz w:val="24"/>
          <w:szCs w:val="24"/>
          <w:lang w:val="en-US"/>
        </w:rPr>
        <w:lastRenderedPageBreak/>
        <w:t xml:space="preserve"> </w:t>
      </w:r>
    </w:p>
    <w:p w:rsidR="00662E69" w:rsidRPr="006463B6" w:rsidRDefault="004931FE" w:rsidP="00B56399">
      <w:pPr>
        <w:spacing w:after="0" w:line="240" w:lineRule="auto"/>
        <w:jc w:val="both"/>
        <w:rPr>
          <w:rFonts w:ascii="Arial" w:hAnsi="Arial" w:cs="Arial"/>
          <w:i/>
          <w:sz w:val="24"/>
          <w:szCs w:val="24"/>
        </w:rPr>
      </w:pPr>
      <w:r>
        <w:rPr>
          <w:rFonts w:ascii="Arial" w:hAnsi="Arial" w:cs="Arial"/>
          <w:sz w:val="24"/>
          <w:szCs w:val="24"/>
        </w:rPr>
        <w:t xml:space="preserve">According to section 2.6 of PRAG, </w:t>
      </w:r>
      <w:r w:rsidRPr="006463B6">
        <w:rPr>
          <w:rFonts w:ascii="Arial" w:hAnsi="Arial" w:cs="Arial"/>
          <w:i/>
          <w:sz w:val="24"/>
          <w:szCs w:val="24"/>
        </w:rPr>
        <w:t>‘terms of reference (for service contracts) and technical specifications (for supply and works contracts) give instructions and guidance to contractors to submit a tender which responds to all technical and administrative requirements, and later to serve as the contractor’s mandate during project implementation. The terms of reference or technical specifications are included in the tender dossier and will become an annex to the resulting contract.</w:t>
      </w:r>
    </w:p>
    <w:p w:rsidR="00B47636" w:rsidRPr="006463B6" w:rsidRDefault="00B47636" w:rsidP="004931FE">
      <w:pPr>
        <w:spacing w:after="0" w:line="240" w:lineRule="auto"/>
        <w:jc w:val="both"/>
        <w:rPr>
          <w:rFonts w:ascii="Arial" w:hAnsi="Arial" w:cs="Arial"/>
          <w:i/>
          <w:sz w:val="24"/>
          <w:szCs w:val="24"/>
        </w:rPr>
      </w:pPr>
    </w:p>
    <w:p w:rsidR="004931FE" w:rsidRDefault="004931FE" w:rsidP="004931FE">
      <w:pPr>
        <w:autoSpaceDE w:val="0"/>
        <w:autoSpaceDN w:val="0"/>
        <w:adjustRightInd w:val="0"/>
        <w:spacing w:after="0" w:line="240" w:lineRule="auto"/>
        <w:jc w:val="both"/>
        <w:rPr>
          <w:rFonts w:ascii="Arial" w:hAnsi="Arial" w:cs="Arial"/>
          <w:color w:val="000000"/>
          <w:sz w:val="24"/>
          <w:szCs w:val="24"/>
          <w:lang w:val="en-US"/>
        </w:rPr>
      </w:pPr>
      <w:r w:rsidRPr="006463B6">
        <w:rPr>
          <w:rFonts w:ascii="Arial" w:hAnsi="Arial" w:cs="Arial"/>
          <w:i/>
          <w:color w:val="000000"/>
          <w:sz w:val="24"/>
          <w:szCs w:val="24"/>
          <w:lang w:val="en-US"/>
        </w:rPr>
        <w:t>Thorough preparation of the terms of reference or technical specifications is extremely important for the ultimate success of the project. It is important to ensure that the project has been properly conceived, that the work is carried out on schedule and that resources will not be wasted. Greater effort during project preparation will save time and money at later stages of the project cycle.’</w:t>
      </w:r>
      <w:r w:rsidRPr="004931FE">
        <w:rPr>
          <w:rFonts w:ascii="Arial" w:hAnsi="Arial" w:cs="Arial"/>
          <w:color w:val="000000"/>
          <w:sz w:val="24"/>
          <w:szCs w:val="24"/>
          <w:lang w:val="en-US"/>
        </w:rPr>
        <w:t xml:space="preserve"> </w:t>
      </w:r>
    </w:p>
    <w:p w:rsidR="00361750" w:rsidRDefault="00361750" w:rsidP="004931FE">
      <w:pPr>
        <w:autoSpaceDE w:val="0"/>
        <w:autoSpaceDN w:val="0"/>
        <w:adjustRightInd w:val="0"/>
        <w:spacing w:after="0" w:line="240" w:lineRule="auto"/>
        <w:jc w:val="both"/>
        <w:rPr>
          <w:rFonts w:ascii="Arial" w:hAnsi="Arial" w:cs="Arial"/>
          <w:color w:val="000000"/>
          <w:sz w:val="24"/>
          <w:szCs w:val="24"/>
          <w:lang w:val="en-US"/>
        </w:rPr>
      </w:pPr>
    </w:p>
    <w:p w:rsidR="00361750" w:rsidRPr="004931FE" w:rsidRDefault="00361750" w:rsidP="004931FE">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Given the complexity of these documents</w:t>
      </w:r>
      <w:r w:rsidR="000F0BE8">
        <w:rPr>
          <w:rFonts w:ascii="Arial" w:hAnsi="Arial" w:cs="Arial"/>
          <w:color w:val="000000"/>
          <w:sz w:val="24"/>
          <w:szCs w:val="24"/>
          <w:lang w:val="en-US"/>
        </w:rPr>
        <w:t>, beneficiaries may need in numerous</w:t>
      </w:r>
      <w:r>
        <w:rPr>
          <w:rFonts w:ascii="Arial" w:hAnsi="Arial" w:cs="Arial"/>
          <w:color w:val="000000"/>
          <w:sz w:val="24"/>
          <w:szCs w:val="24"/>
          <w:lang w:val="en-US"/>
        </w:rPr>
        <w:t xml:space="preserve"> cases external technical assistance to prepare them. </w:t>
      </w:r>
    </w:p>
    <w:p w:rsidR="004931FE" w:rsidRDefault="004931FE" w:rsidP="004931FE">
      <w:pPr>
        <w:autoSpaceDE w:val="0"/>
        <w:autoSpaceDN w:val="0"/>
        <w:adjustRightInd w:val="0"/>
        <w:spacing w:after="0" w:line="240" w:lineRule="auto"/>
        <w:jc w:val="both"/>
        <w:rPr>
          <w:rFonts w:ascii="Arial" w:hAnsi="Arial" w:cs="Arial"/>
          <w:color w:val="000000"/>
          <w:sz w:val="24"/>
          <w:szCs w:val="24"/>
          <w:lang w:val="en-US"/>
        </w:rPr>
      </w:pPr>
    </w:p>
    <w:p w:rsidR="004931FE" w:rsidRPr="004931FE" w:rsidRDefault="00176BAA" w:rsidP="004931FE">
      <w:pPr>
        <w:autoSpaceDE w:val="0"/>
        <w:autoSpaceDN w:val="0"/>
        <w:adjustRightInd w:val="0"/>
        <w:spacing w:after="0" w:line="240" w:lineRule="auto"/>
        <w:jc w:val="both"/>
        <w:rPr>
          <w:rFonts w:ascii="Arial" w:hAnsi="Arial" w:cs="Arial"/>
          <w:color w:val="000000"/>
          <w:sz w:val="24"/>
          <w:szCs w:val="24"/>
          <w:lang w:val="en-US"/>
        </w:rPr>
      </w:pPr>
      <w:r w:rsidRPr="00176BAA">
        <w:rPr>
          <w:rFonts w:ascii="Arial" w:hAnsi="Arial" w:cs="Arial"/>
          <w:color w:val="000000"/>
          <w:sz w:val="24"/>
          <w:szCs w:val="24"/>
          <w:lang w:val="en-US"/>
        </w:rPr>
        <w:t xml:space="preserve">Please note that </w:t>
      </w:r>
      <w:r>
        <w:rPr>
          <w:rFonts w:ascii="Arial" w:hAnsi="Arial" w:cs="Arial"/>
          <w:sz w:val="24"/>
          <w:szCs w:val="24"/>
        </w:rPr>
        <w:t>t</w:t>
      </w:r>
      <w:r w:rsidRPr="00176BAA">
        <w:rPr>
          <w:rFonts w:ascii="Arial" w:hAnsi="Arial" w:cs="Arial"/>
          <w:sz w:val="24"/>
          <w:szCs w:val="24"/>
        </w:rPr>
        <w:t>he terms of reference and the technical specifications may not be disclosed to any third party and must be kept confidential until they are made available to the tenderers simultaneously as part of the procedure.</w:t>
      </w:r>
    </w:p>
    <w:p w:rsidR="004931FE" w:rsidRPr="004931FE" w:rsidRDefault="004931FE" w:rsidP="004931FE">
      <w:pPr>
        <w:autoSpaceDE w:val="0"/>
        <w:autoSpaceDN w:val="0"/>
        <w:adjustRightInd w:val="0"/>
        <w:spacing w:after="0" w:line="240" w:lineRule="auto"/>
        <w:jc w:val="both"/>
        <w:rPr>
          <w:rFonts w:ascii="Arial" w:hAnsi="Arial" w:cs="Arial"/>
          <w:color w:val="000000"/>
          <w:sz w:val="24"/>
          <w:szCs w:val="24"/>
          <w:lang w:val="en-US"/>
        </w:rPr>
      </w:pPr>
    </w:p>
    <w:p w:rsidR="004931FE" w:rsidRPr="004931FE" w:rsidRDefault="004931FE" w:rsidP="004931FE">
      <w:pPr>
        <w:autoSpaceDE w:val="0"/>
        <w:autoSpaceDN w:val="0"/>
        <w:adjustRightInd w:val="0"/>
        <w:spacing w:after="0" w:line="240" w:lineRule="auto"/>
        <w:jc w:val="both"/>
        <w:rPr>
          <w:rFonts w:ascii="Arial" w:hAnsi="Arial" w:cs="Arial"/>
          <w:sz w:val="24"/>
          <w:szCs w:val="24"/>
          <w:lang w:val="en-US"/>
        </w:rPr>
      </w:pPr>
    </w:p>
    <w:p w:rsidR="00AC40E1" w:rsidRPr="00BD20C8" w:rsidRDefault="00AC40E1" w:rsidP="00BD20C8">
      <w:pPr>
        <w:rPr>
          <w:rFonts w:ascii="Arial" w:hAnsi="Arial" w:cs="Arial"/>
          <w:sz w:val="24"/>
          <w:szCs w:val="24"/>
        </w:rPr>
      </w:pPr>
      <w:r>
        <w:rPr>
          <w:rFonts w:ascii="Arial" w:hAnsi="Arial" w:cs="Arial"/>
          <w:sz w:val="24"/>
          <w:szCs w:val="24"/>
        </w:rPr>
        <w:br w:type="page"/>
      </w:r>
    </w:p>
    <w:p w:rsidR="00AC40E1" w:rsidRPr="00FD4F11" w:rsidRDefault="00FD4F11" w:rsidP="005C2C7B">
      <w:pPr>
        <w:pStyle w:val="Heading1"/>
        <w:rPr>
          <w:lang w:val="en-US"/>
        </w:rPr>
      </w:pPr>
      <w:bookmarkStart w:id="9" w:name="_Toc485980988"/>
      <w:r>
        <w:rPr>
          <w:lang w:val="en-US"/>
        </w:rPr>
        <w:lastRenderedPageBreak/>
        <w:t xml:space="preserve">6. </w:t>
      </w:r>
      <w:r w:rsidR="00AC40E1" w:rsidRPr="00FD4F11">
        <w:rPr>
          <w:lang w:val="en-US"/>
        </w:rPr>
        <w:t>MONITORING</w:t>
      </w:r>
      <w:bookmarkEnd w:id="9"/>
    </w:p>
    <w:p w:rsidR="004931FE" w:rsidRPr="00AC40E1" w:rsidRDefault="004931FE" w:rsidP="00B47636">
      <w:pPr>
        <w:spacing w:after="0" w:line="240" w:lineRule="auto"/>
        <w:jc w:val="both"/>
        <w:rPr>
          <w:rFonts w:ascii="Arial" w:hAnsi="Arial" w:cs="Arial"/>
          <w:sz w:val="24"/>
          <w:szCs w:val="24"/>
          <w:lang w:val="en-US"/>
        </w:rPr>
      </w:pPr>
    </w:p>
    <w:p w:rsidR="004931FE" w:rsidRDefault="00DF6144" w:rsidP="00B47636">
      <w:pPr>
        <w:spacing w:after="0" w:line="240" w:lineRule="auto"/>
        <w:jc w:val="both"/>
        <w:rPr>
          <w:rFonts w:ascii="Arial" w:hAnsi="Arial" w:cs="Arial"/>
          <w:sz w:val="24"/>
          <w:szCs w:val="24"/>
        </w:rPr>
      </w:pPr>
      <w:r>
        <w:rPr>
          <w:rFonts w:ascii="Arial" w:hAnsi="Arial" w:cs="Arial"/>
          <w:sz w:val="24"/>
          <w:szCs w:val="24"/>
          <w:lang w:val="en-US"/>
        </w:rPr>
        <w:t>Both the contracting authority and the OSs will be in charge of m</w:t>
      </w:r>
      <w:r>
        <w:rPr>
          <w:rFonts w:ascii="Arial" w:hAnsi="Arial" w:cs="Arial"/>
          <w:sz w:val="24"/>
          <w:szCs w:val="24"/>
        </w:rPr>
        <w:t>onitoring these operations. T</w:t>
      </w:r>
      <w:r w:rsidR="00144E41">
        <w:rPr>
          <w:rFonts w:ascii="Arial" w:hAnsi="Arial" w:cs="Arial"/>
          <w:sz w:val="24"/>
          <w:szCs w:val="24"/>
        </w:rPr>
        <w:t xml:space="preserve">he contracting authority </w:t>
      </w:r>
      <w:r>
        <w:rPr>
          <w:rFonts w:ascii="Arial" w:hAnsi="Arial" w:cs="Arial"/>
          <w:sz w:val="24"/>
          <w:szCs w:val="24"/>
        </w:rPr>
        <w:t xml:space="preserve">must ensure that </w:t>
      </w:r>
      <w:r w:rsidR="00144E41">
        <w:rPr>
          <w:rFonts w:ascii="Arial" w:hAnsi="Arial" w:cs="Arial"/>
          <w:sz w:val="24"/>
          <w:szCs w:val="24"/>
        </w:rPr>
        <w:t xml:space="preserve">strategic projects are </w:t>
      </w:r>
      <w:r w:rsidR="004947C3">
        <w:rPr>
          <w:rFonts w:ascii="Arial" w:hAnsi="Arial" w:cs="Arial"/>
          <w:sz w:val="24"/>
          <w:szCs w:val="24"/>
        </w:rPr>
        <w:t xml:space="preserve">implemented </w:t>
      </w:r>
      <w:r w:rsidR="00144E41">
        <w:rPr>
          <w:rFonts w:ascii="Arial" w:hAnsi="Arial" w:cs="Arial"/>
          <w:sz w:val="24"/>
          <w:szCs w:val="24"/>
        </w:rPr>
        <w:t>according to plan</w:t>
      </w:r>
      <w:r w:rsidR="00E4051E">
        <w:rPr>
          <w:rFonts w:ascii="Arial" w:hAnsi="Arial" w:cs="Arial"/>
          <w:sz w:val="24"/>
          <w:szCs w:val="24"/>
        </w:rPr>
        <w:t xml:space="preserve"> </w:t>
      </w:r>
      <w:r w:rsidR="00144E41">
        <w:rPr>
          <w:rFonts w:ascii="Arial" w:hAnsi="Arial" w:cs="Arial"/>
          <w:sz w:val="24"/>
          <w:szCs w:val="24"/>
        </w:rPr>
        <w:t xml:space="preserve">and </w:t>
      </w:r>
      <w:r w:rsidR="00573BB6">
        <w:rPr>
          <w:rFonts w:ascii="Arial" w:hAnsi="Arial" w:cs="Arial"/>
          <w:sz w:val="24"/>
          <w:szCs w:val="24"/>
        </w:rPr>
        <w:t xml:space="preserve">ToR/technical specifications, as well as </w:t>
      </w:r>
      <w:r w:rsidR="00144E41">
        <w:rPr>
          <w:rFonts w:ascii="Arial" w:hAnsi="Arial" w:cs="Arial"/>
          <w:sz w:val="24"/>
          <w:szCs w:val="24"/>
        </w:rPr>
        <w:t xml:space="preserve">that the requests for payment are </w:t>
      </w:r>
      <w:r w:rsidR="00573BB6">
        <w:rPr>
          <w:rFonts w:ascii="Arial" w:hAnsi="Arial" w:cs="Arial"/>
          <w:sz w:val="24"/>
          <w:szCs w:val="24"/>
        </w:rPr>
        <w:t>duly</w:t>
      </w:r>
      <w:r w:rsidR="000F0BE8">
        <w:rPr>
          <w:rFonts w:ascii="Arial" w:hAnsi="Arial" w:cs="Arial"/>
          <w:sz w:val="24"/>
          <w:szCs w:val="24"/>
        </w:rPr>
        <w:t xml:space="preserve"> </w:t>
      </w:r>
      <w:r w:rsidR="00573BB6">
        <w:rPr>
          <w:rFonts w:ascii="Arial" w:hAnsi="Arial" w:cs="Arial"/>
          <w:sz w:val="24"/>
          <w:szCs w:val="24"/>
        </w:rPr>
        <w:t>substantiated. T</w:t>
      </w:r>
      <w:r w:rsidR="00144E41">
        <w:rPr>
          <w:rFonts w:ascii="Arial" w:hAnsi="Arial" w:cs="Arial"/>
          <w:sz w:val="24"/>
          <w:szCs w:val="24"/>
        </w:rPr>
        <w:t xml:space="preserve">he OSs are also expected to </w:t>
      </w:r>
      <w:r w:rsidR="004947C3">
        <w:rPr>
          <w:rFonts w:ascii="Arial" w:hAnsi="Arial" w:cs="Arial"/>
          <w:sz w:val="24"/>
          <w:szCs w:val="24"/>
        </w:rPr>
        <w:t xml:space="preserve">monitor </w:t>
      </w:r>
      <w:r w:rsidR="00144E41">
        <w:rPr>
          <w:rFonts w:ascii="Arial" w:hAnsi="Arial" w:cs="Arial"/>
          <w:sz w:val="24"/>
          <w:szCs w:val="24"/>
        </w:rPr>
        <w:t>the execution of services, supplies and works</w:t>
      </w:r>
      <w:r w:rsidR="00E4051E">
        <w:rPr>
          <w:rFonts w:ascii="Arial" w:hAnsi="Arial" w:cs="Arial"/>
          <w:sz w:val="24"/>
          <w:szCs w:val="24"/>
        </w:rPr>
        <w:t xml:space="preserve"> in ‘strategic projects’</w:t>
      </w:r>
      <w:r w:rsidR="00144E41">
        <w:rPr>
          <w:rFonts w:ascii="Arial" w:hAnsi="Arial" w:cs="Arial"/>
          <w:sz w:val="24"/>
          <w:szCs w:val="24"/>
        </w:rPr>
        <w:t xml:space="preserve">. </w:t>
      </w:r>
      <w:r w:rsidR="00980544">
        <w:rPr>
          <w:rFonts w:ascii="Arial" w:hAnsi="Arial" w:cs="Arial"/>
          <w:sz w:val="24"/>
          <w:szCs w:val="24"/>
        </w:rPr>
        <w:t>This is compliant with the provisions of Article 79(6e)</w:t>
      </w:r>
      <w:r w:rsidR="004947C3">
        <w:rPr>
          <w:rFonts w:ascii="Arial" w:hAnsi="Arial" w:cs="Arial"/>
          <w:sz w:val="24"/>
          <w:szCs w:val="24"/>
        </w:rPr>
        <w:t xml:space="preserve"> of the FWA</w:t>
      </w:r>
      <w:r w:rsidR="00980544">
        <w:rPr>
          <w:rFonts w:ascii="Arial" w:hAnsi="Arial" w:cs="Arial"/>
          <w:sz w:val="24"/>
          <w:szCs w:val="24"/>
        </w:rPr>
        <w:t xml:space="preserve"> which stipulates that the JTS may be responsible to ‘prepare, conduct and report on monitoring visits to cross-border cooperation operations’. This is likewise the basis for the programme monitoring entrusted to the JMC, which will ‘examine relevant findings and conclusions as well as proposals for remedial follow-up actions stemming from the on-the-spot checks, monitoring and evaluation conducted by the contracting authority, the JTS and/or external monitors and evaluators</w:t>
      </w:r>
      <w:r w:rsidR="004947C3">
        <w:rPr>
          <w:rFonts w:ascii="Arial" w:hAnsi="Arial" w:cs="Arial"/>
          <w:sz w:val="24"/>
          <w:szCs w:val="24"/>
        </w:rPr>
        <w:t>’</w:t>
      </w:r>
      <w:r w:rsidR="00980544">
        <w:rPr>
          <w:rFonts w:ascii="Arial" w:hAnsi="Arial" w:cs="Arial"/>
          <w:sz w:val="24"/>
          <w:szCs w:val="24"/>
        </w:rPr>
        <w:t xml:space="preserve">. </w:t>
      </w:r>
      <w:r w:rsidR="00E4051E">
        <w:rPr>
          <w:rFonts w:ascii="Arial" w:hAnsi="Arial" w:cs="Arial"/>
          <w:sz w:val="24"/>
          <w:szCs w:val="24"/>
        </w:rPr>
        <w:t xml:space="preserve">Monitoring is one of the activities eligible for funding under the </w:t>
      </w:r>
      <w:r w:rsidR="004947C3">
        <w:rPr>
          <w:rFonts w:ascii="Arial" w:hAnsi="Arial" w:cs="Arial"/>
          <w:sz w:val="24"/>
          <w:szCs w:val="24"/>
        </w:rPr>
        <w:t xml:space="preserve">thematic </w:t>
      </w:r>
      <w:r w:rsidR="00E4051E">
        <w:rPr>
          <w:rFonts w:ascii="Arial" w:hAnsi="Arial" w:cs="Arial"/>
          <w:sz w:val="24"/>
          <w:szCs w:val="24"/>
        </w:rPr>
        <w:t xml:space="preserve">priority ‘technical assistance’ in each </w:t>
      </w:r>
      <w:r w:rsidR="004947C3">
        <w:rPr>
          <w:rFonts w:ascii="Arial" w:hAnsi="Arial" w:cs="Arial"/>
          <w:sz w:val="24"/>
          <w:szCs w:val="24"/>
        </w:rPr>
        <w:t xml:space="preserve">of the </w:t>
      </w:r>
      <w:r w:rsidR="00E4051E">
        <w:rPr>
          <w:rFonts w:ascii="Arial" w:hAnsi="Arial" w:cs="Arial"/>
          <w:sz w:val="24"/>
          <w:szCs w:val="24"/>
        </w:rPr>
        <w:t>CBC programm</w:t>
      </w:r>
      <w:r w:rsidR="000F0BE8">
        <w:rPr>
          <w:rFonts w:ascii="Arial" w:hAnsi="Arial" w:cs="Arial"/>
          <w:sz w:val="24"/>
          <w:szCs w:val="24"/>
        </w:rPr>
        <w:t>e</w:t>
      </w:r>
      <w:r w:rsidR="004947C3">
        <w:rPr>
          <w:rFonts w:ascii="Arial" w:hAnsi="Arial" w:cs="Arial"/>
          <w:sz w:val="24"/>
          <w:szCs w:val="24"/>
        </w:rPr>
        <w:t>s</w:t>
      </w:r>
      <w:r w:rsidR="000F0BE8">
        <w:rPr>
          <w:rFonts w:ascii="Arial" w:hAnsi="Arial" w:cs="Arial"/>
          <w:sz w:val="24"/>
          <w:szCs w:val="24"/>
        </w:rPr>
        <w:t xml:space="preserve"> and occupies a</w:t>
      </w:r>
      <w:r w:rsidR="00E4051E">
        <w:rPr>
          <w:rFonts w:ascii="Arial" w:hAnsi="Arial" w:cs="Arial"/>
          <w:sz w:val="24"/>
          <w:szCs w:val="24"/>
        </w:rPr>
        <w:t xml:space="preserve"> place</w:t>
      </w:r>
      <w:r w:rsidR="000F0BE8">
        <w:rPr>
          <w:rFonts w:ascii="Arial" w:hAnsi="Arial" w:cs="Arial"/>
          <w:sz w:val="24"/>
          <w:szCs w:val="24"/>
        </w:rPr>
        <w:t xml:space="preserve"> of honour</w:t>
      </w:r>
      <w:r w:rsidR="00E4051E">
        <w:rPr>
          <w:rFonts w:ascii="Arial" w:hAnsi="Arial" w:cs="Arial"/>
          <w:sz w:val="24"/>
          <w:szCs w:val="24"/>
        </w:rPr>
        <w:t xml:space="preserve"> in the JTS Manual</w:t>
      </w:r>
      <w:r w:rsidR="00A10833">
        <w:rPr>
          <w:rFonts w:ascii="Arial" w:hAnsi="Arial" w:cs="Arial"/>
          <w:sz w:val="24"/>
          <w:szCs w:val="24"/>
        </w:rPr>
        <w:t>,</w:t>
      </w:r>
      <w:r w:rsidR="00E4051E">
        <w:rPr>
          <w:rFonts w:ascii="Arial" w:hAnsi="Arial" w:cs="Arial"/>
          <w:sz w:val="24"/>
          <w:szCs w:val="24"/>
        </w:rPr>
        <w:t xml:space="preserve"> irrespective of whether the actions </w:t>
      </w:r>
      <w:r w:rsidR="000F0BE8">
        <w:rPr>
          <w:rFonts w:ascii="Arial" w:hAnsi="Arial" w:cs="Arial"/>
          <w:sz w:val="24"/>
          <w:szCs w:val="24"/>
        </w:rPr>
        <w:t xml:space="preserve">could </w:t>
      </w:r>
      <w:r w:rsidR="00E4051E">
        <w:rPr>
          <w:rFonts w:ascii="Arial" w:hAnsi="Arial" w:cs="Arial"/>
          <w:sz w:val="24"/>
          <w:szCs w:val="24"/>
        </w:rPr>
        <w:t xml:space="preserve">have been selected through or outside </w:t>
      </w:r>
      <w:r w:rsidR="004947C3">
        <w:rPr>
          <w:rFonts w:ascii="Arial" w:hAnsi="Arial" w:cs="Arial"/>
          <w:sz w:val="24"/>
          <w:szCs w:val="24"/>
        </w:rPr>
        <w:t>a call</w:t>
      </w:r>
      <w:r w:rsidR="00E4051E">
        <w:rPr>
          <w:rFonts w:ascii="Arial" w:hAnsi="Arial" w:cs="Arial"/>
          <w:sz w:val="24"/>
          <w:szCs w:val="24"/>
        </w:rPr>
        <w:t xml:space="preserve"> for proposals. </w:t>
      </w:r>
    </w:p>
    <w:p w:rsidR="00A10833" w:rsidRDefault="00A10833" w:rsidP="00B47636">
      <w:pPr>
        <w:spacing w:after="0" w:line="240" w:lineRule="auto"/>
        <w:jc w:val="both"/>
        <w:rPr>
          <w:rFonts w:ascii="Arial" w:hAnsi="Arial" w:cs="Arial"/>
          <w:sz w:val="24"/>
          <w:szCs w:val="24"/>
        </w:rPr>
      </w:pPr>
    </w:p>
    <w:p w:rsidR="00A10833" w:rsidRDefault="00A10833" w:rsidP="00B47636">
      <w:pPr>
        <w:spacing w:after="0" w:line="240" w:lineRule="auto"/>
        <w:jc w:val="both"/>
        <w:rPr>
          <w:rFonts w:ascii="Arial" w:hAnsi="Arial" w:cs="Arial"/>
          <w:sz w:val="24"/>
          <w:szCs w:val="24"/>
        </w:rPr>
      </w:pPr>
      <w:r>
        <w:rPr>
          <w:rFonts w:ascii="Arial" w:hAnsi="Arial" w:cs="Arial"/>
          <w:sz w:val="24"/>
          <w:szCs w:val="24"/>
        </w:rPr>
        <w:t>Monitoring of service, supplies and works contracts should be focused on outputs and outcomes as specified in the terms of reference and technical specifications. The monitors will above all pay attention and r</w:t>
      </w:r>
      <w:r w:rsidR="00A70ED8">
        <w:rPr>
          <w:rFonts w:ascii="Arial" w:hAnsi="Arial" w:cs="Arial"/>
          <w:sz w:val="24"/>
          <w:szCs w:val="24"/>
        </w:rPr>
        <w:t>eport accordingly on whether intellectual</w:t>
      </w:r>
      <w:r>
        <w:rPr>
          <w:rFonts w:ascii="Arial" w:hAnsi="Arial" w:cs="Arial"/>
          <w:sz w:val="24"/>
          <w:szCs w:val="24"/>
        </w:rPr>
        <w:t xml:space="preserve"> outputs, </w:t>
      </w:r>
      <w:r w:rsidR="00A70ED8">
        <w:rPr>
          <w:rFonts w:ascii="Arial" w:hAnsi="Arial" w:cs="Arial"/>
          <w:sz w:val="24"/>
          <w:szCs w:val="24"/>
        </w:rPr>
        <w:t xml:space="preserve">physical </w:t>
      </w:r>
      <w:r>
        <w:rPr>
          <w:rFonts w:ascii="Arial" w:hAnsi="Arial" w:cs="Arial"/>
          <w:sz w:val="24"/>
          <w:szCs w:val="24"/>
        </w:rPr>
        <w:t xml:space="preserve">equipment and constructions were delivered according to the technical requirements and </w:t>
      </w:r>
      <w:r w:rsidR="00A70ED8">
        <w:rPr>
          <w:rFonts w:ascii="Arial" w:hAnsi="Arial" w:cs="Arial"/>
          <w:sz w:val="24"/>
          <w:szCs w:val="24"/>
        </w:rPr>
        <w:t xml:space="preserve">foreseen </w:t>
      </w:r>
      <w:r>
        <w:rPr>
          <w:rFonts w:ascii="Arial" w:hAnsi="Arial" w:cs="Arial"/>
          <w:sz w:val="24"/>
          <w:szCs w:val="24"/>
        </w:rPr>
        <w:t xml:space="preserve">schedule, </w:t>
      </w:r>
      <w:r w:rsidR="00A70ED8">
        <w:rPr>
          <w:rFonts w:ascii="Arial" w:hAnsi="Arial" w:cs="Arial"/>
          <w:sz w:val="24"/>
          <w:szCs w:val="24"/>
        </w:rPr>
        <w:t xml:space="preserve">currently </w:t>
      </w:r>
      <w:r w:rsidR="004A0FC1">
        <w:rPr>
          <w:rFonts w:ascii="Arial" w:hAnsi="Arial" w:cs="Arial"/>
          <w:sz w:val="24"/>
          <w:szCs w:val="24"/>
        </w:rPr>
        <w:t xml:space="preserve">perform their functions properly </w:t>
      </w:r>
      <w:r>
        <w:rPr>
          <w:rFonts w:ascii="Arial" w:hAnsi="Arial" w:cs="Arial"/>
          <w:sz w:val="24"/>
          <w:szCs w:val="24"/>
        </w:rPr>
        <w:t xml:space="preserve">and are being </w:t>
      </w:r>
      <w:r w:rsidR="004A0FC1">
        <w:rPr>
          <w:rFonts w:ascii="Arial" w:hAnsi="Arial" w:cs="Arial"/>
          <w:sz w:val="24"/>
          <w:szCs w:val="24"/>
        </w:rPr>
        <w:t xml:space="preserve">exclusively </w:t>
      </w:r>
      <w:r>
        <w:rPr>
          <w:rFonts w:ascii="Arial" w:hAnsi="Arial" w:cs="Arial"/>
          <w:sz w:val="24"/>
          <w:szCs w:val="24"/>
        </w:rPr>
        <w:t xml:space="preserve">used for the </w:t>
      </w:r>
      <w:r w:rsidR="004A0FC1">
        <w:rPr>
          <w:rFonts w:ascii="Arial" w:hAnsi="Arial" w:cs="Arial"/>
          <w:sz w:val="24"/>
          <w:szCs w:val="24"/>
        </w:rPr>
        <w:t>purpose they were procured.</w:t>
      </w:r>
    </w:p>
    <w:p w:rsidR="00A10833" w:rsidRDefault="00A10833" w:rsidP="00B47636">
      <w:pPr>
        <w:spacing w:after="0" w:line="240" w:lineRule="auto"/>
        <w:jc w:val="both"/>
        <w:rPr>
          <w:rFonts w:ascii="Arial" w:hAnsi="Arial" w:cs="Arial"/>
          <w:sz w:val="24"/>
          <w:szCs w:val="24"/>
        </w:rPr>
      </w:pPr>
    </w:p>
    <w:p w:rsidR="00A10833" w:rsidRDefault="00A10833" w:rsidP="00B47636">
      <w:pPr>
        <w:spacing w:after="0" w:line="240" w:lineRule="auto"/>
        <w:jc w:val="both"/>
        <w:rPr>
          <w:rFonts w:ascii="Arial" w:hAnsi="Arial" w:cs="Arial"/>
          <w:sz w:val="24"/>
          <w:szCs w:val="24"/>
        </w:rPr>
      </w:pPr>
      <w:r w:rsidRPr="00C6388A">
        <w:rPr>
          <w:rFonts w:ascii="Arial" w:hAnsi="Arial" w:cs="Arial"/>
          <w:sz w:val="24"/>
          <w:szCs w:val="24"/>
        </w:rPr>
        <w:t>Monitoring of complex work contracts should count on the additional assistance of technical supervisors specifically hired for the purpose</w:t>
      </w:r>
      <w:r w:rsidR="000258C5" w:rsidRPr="00C6388A">
        <w:rPr>
          <w:rFonts w:ascii="Arial" w:hAnsi="Arial" w:cs="Arial"/>
          <w:sz w:val="24"/>
          <w:szCs w:val="24"/>
        </w:rPr>
        <w:t xml:space="preserve"> through </w:t>
      </w:r>
      <w:r w:rsidR="00C6388A" w:rsidRPr="00C6388A">
        <w:rPr>
          <w:rFonts w:ascii="Arial" w:hAnsi="Arial" w:cs="Arial"/>
          <w:sz w:val="24"/>
          <w:szCs w:val="24"/>
        </w:rPr>
        <w:t>a separate tender procedure</w:t>
      </w:r>
      <w:r w:rsidRPr="00C6388A">
        <w:rPr>
          <w:rFonts w:ascii="Arial" w:hAnsi="Arial" w:cs="Arial"/>
          <w:sz w:val="24"/>
          <w:szCs w:val="24"/>
        </w:rPr>
        <w:t>.</w:t>
      </w:r>
      <w:r>
        <w:rPr>
          <w:rFonts w:ascii="Arial" w:hAnsi="Arial" w:cs="Arial"/>
          <w:sz w:val="24"/>
          <w:szCs w:val="24"/>
        </w:rPr>
        <w:t xml:space="preserve"> </w:t>
      </w:r>
    </w:p>
    <w:p w:rsidR="00DF6144" w:rsidRDefault="00DF6144" w:rsidP="00B47636">
      <w:pPr>
        <w:spacing w:after="0" w:line="240" w:lineRule="auto"/>
        <w:jc w:val="both"/>
        <w:rPr>
          <w:rFonts w:ascii="Arial" w:hAnsi="Arial" w:cs="Arial"/>
          <w:sz w:val="24"/>
          <w:szCs w:val="24"/>
        </w:rPr>
      </w:pPr>
    </w:p>
    <w:p w:rsidR="00DF6144" w:rsidRDefault="001F631F" w:rsidP="001F631F">
      <w:pPr>
        <w:pStyle w:val="Heading1"/>
      </w:pPr>
      <w:bookmarkStart w:id="10" w:name="_Toc485980989"/>
      <w:r>
        <w:t>7. PUBLICITY AND VISIBILITY</w:t>
      </w:r>
      <w:bookmarkEnd w:id="10"/>
    </w:p>
    <w:p w:rsidR="001F631F" w:rsidRDefault="001F631F" w:rsidP="001F631F">
      <w:pPr>
        <w:spacing w:after="0" w:line="240" w:lineRule="auto"/>
        <w:rPr>
          <w:sz w:val="24"/>
          <w:szCs w:val="24"/>
        </w:rPr>
      </w:pPr>
    </w:p>
    <w:p w:rsidR="001F631F" w:rsidRDefault="001F631F" w:rsidP="001F631F">
      <w:pPr>
        <w:spacing w:after="0" w:line="240" w:lineRule="auto"/>
        <w:jc w:val="both"/>
        <w:rPr>
          <w:sz w:val="24"/>
          <w:szCs w:val="24"/>
        </w:rPr>
      </w:pPr>
      <w:r>
        <w:rPr>
          <w:sz w:val="24"/>
          <w:szCs w:val="24"/>
        </w:rPr>
        <w:t>Article</w:t>
      </w:r>
      <w:r w:rsidR="00575648">
        <w:rPr>
          <w:sz w:val="24"/>
          <w:szCs w:val="24"/>
        </w:rPr>
        <w:t>s</w:t>
      </w:r>
      <w:r>
        <w:rPr>
          <w:sz w:val="24"/>
          <w:szCs w:val="24"/>
        </w:rPr>
        <w:t xml:space="preserve"> 23.1</w:t>
      </w:r>
      <w:r w:rsidR="00575648">
        <w:rPr>
          <w:sz w:val="24"/>
          <w:szCs w:val="24"/>
        </w:rPr>
        <w:t xml:space="preserve"> and 24.3</w:t>
      </w:r>
      <w:r>
        <w:rPr>
          <w:sz w:val="24"/>
          <w:szCs w:val="24"/>
        </w:rPr>
        <w:t xml:space="preserve"> of the FWA reminds that the IPA II beneficiary, in the case of the CBC programmes, particularly the OSs, ‘commits towards increased transparency and accountability in the delivery of assistance, including by publicly disclosing information on assistance volume and allocation, ensuring that data is internationally compar</w:t>
      </w:r>
      <w:r w:rsidR="00575648">
        <w:rPr>
          <w:sz w:val="24"/>
          <w:szCs w:val="24"/>
        </w:rPr>
        <w:t>able and can be easily accessed, shared and published’. The OSs ‘shall agree on a coherent plan of visibility and communication activities to make available, and actively publicise information about programmes and actions under IPA II assistance’. Furthermore, Article 79.6.h of the FWA grants onto the JTS the ‘responsibility of planning and implementing information campaigns and other activities related to raising public awareness on the CBC programme, including the publication of publicity material and the maintenance of the programme’s website</w:t>
      </w:r>
      <w:r w:rsidR="00EA00E8">
        <w:rPr>
          <w:sz w:val="24"/>
          <w:szCs w:val="24"/>
        </w:rPr>
        <w:t>’</w:t>
      </w:r>
      <w:r w:rsidR="00575648">
        <w:rPr>
          <w:sz w:val="24"/>
          <w:szCs w:val="24"/>
        </w:rPr>
        <w:t xml:space="preserve">. </w:t>
      </w:r>
    </w:p>
    <w:p w:rsidR="001F631F" w:rsidRDefault="001F631F" w:rsidP="00EA00E8">
      <w:pPr>
        <w:spacing w:after="0" w:line="240" w:lineRule="auto"/>
        <w:jc w:val="both"/>
        <w:rPr>
          <w:sz w:val="24"/>
          <w:szCs w:val="24"/>
        </w:rPr>
      </w:pPr>
    </w:p>
    <w:p w:rsidR="001F631F" w:rsidRDefault="00EA00E8" w:rsidP="00EA00E8">
      <w:pPr>
        <w:spacing w:after="0" w:line="240" w:lineRule="auto"/>
        <w:jc w:val="both"/>
        <w:rPr>
          <w:sz w:val="24"/>
          <w:szCs w:val="24"/>
        </w:rPr>
      </w:pPr>
      <w:r>
        <w:rPr>
          <w:sz w:val="24"/>
          <w:szCs w:val="24"/>
        </w:rPr>
        <w:t xml:space="preserve">In relation to strategic projects funded by the 2007-2013 CBC programmes, all these obligations seem to have been somehow neglected. Under the IPA II CBC </w:t>
      </w:r>
      <w:r>
        <w:rPr>
          <w:sz w:val="24"/>
          <w:szCs w:val="24"/>
        </w:rPr>
        <w:lastRenderedPageBreak/>
        <w:t xml:space="preserve">programmes, OSs should regularly liaise with the corresponding project managers of the contracting authorities in order to keep updated on the state of play with the implementation of strategic projects. They should also directly liaise with the contractors to follow up the dynamics of project implementation and publicise the main milestones in the process. </w:t>
      </w:r>
      <w:r w:rsidR="00555B2F">
        <w:rPr>
          <w:sz w:val="24"/>
          <w:szCs w:val="24"/>
        </w:rPr>
        <w:t>In order to boost the visibility of strategic projects, the OSs should ensure the following:</w:t>
      </w:r>
    </w:p>
    <w:p w:rsidR="00555B2F" w:rsidRDefault="00555B2F" w:rsidP="00EA00E8">
      <w:pPr>
        <w:spacing w:after="0" w:line="240" w:lineRule="auto"/>
        <w:jc w:val="both"/>
        <w:rPr>
          <w:sz w:val="24"/>
          <w:szCs w:val="24"/>
        </w:rPr>
      </w:pPr>
    </w:p>
    <w:p w:rsidR="00555B2F" w:rsidRDefault="00555B2F" w:rsidP="00555B2F">
      <w:pPr>
        <w:pStyle w:val="ListParagraph"/>
        <w:numPr>
          <w:ilvl w:val="0"/>
          <w:numId w:val="47"/>
        </w:numPr>
        <w:spacing w:after="0" w:line="240" w:lineRule="auto"/>
        <w:jc w:val="both"/>
        <w:rPr>
          <w:sz w:val="24"/>
          <w:szCs w:val="24"/>
        </w:rPr>
      </w:pPr>
      <w:r>
        <w:rPr>
          <w:sz w:val="24"/>
          <w:szCs w:val="24"/>
        </w:rPr>
        <w:t>The communication and visibility plan of the CBC programme includes measures to promote their publicity and visibility;</w:t>
      </w:r>
    </w:p>
    <w:p w:rsidR="00555B2F" w:rsidRDefault="00555B2F" w:rsidP="00555B2F">
      <w:pPr>
        <w:pStyle w:val="ListParagraph"/>
        <w:numPr>
          <w:ilvl w:val="0"/>
          <w:numId w:val="47"/>
        </w:numPr>
        <w:spacing w:after="0" w:line="240" w:lineRule="auto"/>
        <w:jc w:val="both"/>
        <w:rPr>
          <w:sz w:val="24"/>
          <w:szCs w:val="24"/>
        </w:rPr>
      </w:pPr>
      <w:r>
        <w:rPr>
          <w:sz w:val="24"/>
          <w:szCs w:val="24"/>
        </w:rPr>
        <w:t>The programme websites should have a dedicated window to them with news about the implementation progress and statements from target groups and representatives of the final beneficiaries;</w:t>
      </w:r>
    </w:p>
    <w:p w:rsidR="00555B2F" w:rsidRDefault="00555B2F" w:rsidP="00555B2F">
      <w:pPr>
        <w:pStyle w:val="ListParagraph"/>
        <w:numPr>
          <w:ilvl w:val="0"/>
          <w:numId w:val="47"/>
        </w:numPr>
        <w:spacing w:after="0" w:line="240" w:lineRule="auto"/>
        <w:jc w:val="both"/>
        <w:rPr>
          <w:sz w:val="24"/>
          <w:szCs w:val="24"/>
        </w:rPr>
      </w:pPr>
      <w:r>
        <w:rPr>
          <w:sz w:val="24"/>
          <w:szCs w:val="24"/>
        </w:rPr>
        <w:t xml:space="preserve">The identification of interlinks with other EU or Member States initiatives, as well as with the programmes of other donors, financial institutions and international agencies; </w:t>
      </w:r>
    </w:p>
    <w:p w:rsidR="00555B2F" w:rsidRDefault="007A7B37" w:rsidP="00555B2F">
      <w:pPr>
        <w:pStyle w:val="ListParagraph"/>
        <w:numPr>
          <w:ilvl w:val="0"/>
          <w:numId w:val="47"/>
        </w:numPr>
        <w:spacing w:after="0" w:line="240" w:lineRule="auto"/>
        <w:jc w:val="both"/>
        <w:rPr>
          <w:sz w:val="24"/>
          <w:szCs w:val="24"/>
        </w:rPr>
      </w:pPr>
      <w:r>
        <w:rPr>
          <w:sz w:val="24"/>
          <w:szCs w:val="24"/>
        </w:rPr>
        <w:t xml:space="preserve">The inclusion of such projects amongst the success stories whenever they meet the standards for it; </w:t>
      </w:r>
    </w:p>
    <w:p w:rsidR="007A7B37" w:rsidRDefault="007A7B37" w:rsidP="00555B2F">
      <w:pPr>
        <w:pStyle w:val="ListParagraph"/>
        <w:numPr>
          <w:ilvl w:val="0"/>
          <w:numId w:val="47"/>
        </w:numPr>
        <w:spacing w:after="0" w:line="240" w:lineRule="auto"/>
        <w:jc w:val="both"/>
        <w:rPr>
          <w:sz w:val="24"/>
          <w:szCs w:val="24"/>
        </w:rPr>
      </w:pPr>
      <w:r>
        <w:rPr>
          <w:sz w:val="24"/>
          <w:szCs w:val="24"/>
        </w:rPr>
        <w:t>The continuous posting of news on them over the social networks;</w:t>
      </w:r>
    </w:p>
    <w:p w:rsidR="007A7B37" w:rsidRDefault="007A7B37" w:rsidP="00555B2F">
      <w:pPr>
        <w:pStyle w:val="ListParagraph"/>
        <w:numPr>
          <w:ilvl w:val="0"/>
          <w:numId w:val="47"/>
        </w:numPr>
        <w:spacing w:after="0" w:line="240" w:lineRule="auto"/>
        <w:jc w:val="both"/>
        <w:rPr>
          <w:sz w:val="24"/>
          <w:szCs w:val="24"/>
        </w:rPr>
      </w:pPr>
      <w:r>
        <w:rPr>
          <w:sz w:val="24"/>
          <w:szCs w:val="24"/>
        </w:rPr>
        <w:t>In the case of works, the organisation of an event at their start and when the facility is completed an inauguration ceremony;</w:t>
      </w:r>
    </w:p>
    <w:p w:rsidR="00CE6C0E" w:rsidRDefault="00CE6C0E" w:rsidP="00555B2F">
      <w:pPr>
        <w:pStyle w:val="ListParagraph"/>
        <w:numPr>
          <w:ilvl w:val="0"/>
          <w:numId w:val="47"/>
        </w:numPr>
        <w:spacing w:after="0" w:line="240" w:lineRule="auto"/>
        <w:jc w:val="both"/>
        <w:rPr>
          <w:sz w:val="24"/>
          <w:szCs w:val="24"/>
        </w:rPr>
      </w:pPr>
      <w:r>
        <w:rPr>
          <w:sz w:val="24"/>
          <w:szCs w:val="24"/>
        </w:rPr>
        <w:t>The regular reporting on its implementation in programme newsletters;</w:t>
      </w:r>
    </w:p>
    <w:p w:rsidR="007A7B37" w:rsidRPr="00555B2F" w:rsidRDefault="007A7B37" w:rsidP="00555B2F">
      <w:pPr>
        <w:pStyle w:val="ListParagraph"/>
        <w:numPr>
          <w:ilvl w:val="0"/>
          <w:numId w:val="47"/>
        </w:numPr>
        <w:spacing w:after="0" w:line="240" w:lineRule="auto"/>
        <w:jc w:val="both"/>
        <w:rPr>
          <w:sz w:val="24"/>
          <w:szCs w:val="24"/>
        </w:rPr>
      </w:pPr>
      <w:r>
        <w:rPr>
          <w:sz w:val="24"/>
          <w:szCs w:val="24"/>
        </w:rPr>
        <w:t>The compilation of an article to be offered to TV and radio stations as well as to newspapers about a personal story benefiting from the implementation of the project.</w:t>
      </w:r>
    </w:p>
    <w:p w:rsidR="00575648" w:rsidRDefault="00575648" w:rsidP="001F631F">
      <w:pPr>
        <w:spacing w:after="0" w:line="240" w:lineRule="auto"/>
        <w:rPr>
          <w:sz w:val="24"/>
          <w:szCs w:val="24"/>
        </w:rPr>
      </w:pPr>
    </w:p>
    <w:p w:rsidR="00575648" w:rsidRPr="001F631F" w:rsidRDefault="00575648" w:rsidP="001F631F">
      <w:pPr>
        <w:spacing w:after="0" w:line="240" w:lineRule="auto"/>
        <w:rPr>
          <w:sz w:val="24"/>
          <w:szCs w:val="24"/>
        </w:rPr>
      </w:pPr>
    </w:p>
    <w:p w:rsidR="00BD20C8" w:rsidRDefault="00BD20C8" w:rsidP="00646A80">
      <w:pPr>
        <w:rPr>
          <w:rFonts w:ascii="Arial" w:hAnsi="Arial" w:cs="Arial"/>
          <w:sz w:val="24"/>
          <w:szCs w:val="24"/>
        </w:rPr>
      </w:pPr>
      <w:r>
        <w:rPr>
          <w:rFonts w:ascii="Arial" w:hAnsi="Arial" w:cs="Arial"/>
          <w:sz w:val="24"/>
          <w:szCs w:val="24"/>
        </w:rPr>
        <w:br w:type="page"/>
      </w:r>
    </w:p>
    <w:p w:rsidR="004931FE" w:rsidRPr="00467D67" w:rsidRDefault="00BD20C8" w:rsidP="005C2C7B">
      <w:pPr>
        <w:pStyle w:val="Heading1"/>
      </w:pPr>
      <w:bookmarkStart w:id="11" w:name="_Toc485980990"/>
      <w:r w:rsidRPr="00467D67">
        <w:lastRenderedPageBreak/>
        <w:t>ANNEXES</w:t>
      </w:r>
      <w:bookmarkEnd w:id="11"/>
    </w:p>
    <w:p w:rsidR="00BD20C8" w:rsidRPr="00467D67" w:rsidRDefault="00BD20C8" w:rsidP="00B47636">
      <w:pPr>
        <w:spacing w:after="0" w:line="240" w:lineRule="auto"/>
        <w:jc w:val="both"/>
        <w:rPr>
          <w:rFonts w:ascii="Arial" w:hAnsi="Arial" w:cs="Arial"/>
          <w:sz w:val="24"/>
          <w:szCs w:val="24"/>
        </w:rPr>
      </w:pPr>
    </w:p>
    <w:p w:rsidR="00BD20C8" w:rsidRDefault="00BD20C8" w:rsidP="00C6388A">
      <w:pPr>
        <w:pStyle w:val="Heading2"/>
        <w:rPr>
          <w:lang w:val="en-US"/>
        </w:rPr>
      </w:pPr>
      <w:bookmarkStart w:id="12" w:name="_Toc485980991"/>
      <w:r w:rsidRPr="00467D67">
        <w:rPr>
          <w:lang w:val="en-US"/>
        </w:rPr>
        <w:t>1. Ranking Table</w:t>
      </w:r>
      <w:bookmarkEnd w:id="12"/>
    </w:p>
    <w:p w:rsidR="00467D67" w:rsidRPr="00467D67" w:rsidRDefault="00467D67" w:rsidP="00C6388A">
      <w:pPr>
        <w:pStyle w:val="Heading2"/>
        <w:rPr>
          <w:lang w:val="en-US"/>
        </w:rPr>
      </w:pPr>
      <w:bookmarkStart w:id="13" w:name="_Toc485980992"/>
      <w:r>
        <w:rPr>
          <w:lang w:val="en-US"/>
        </w:rPr>
        <w:t xml:space="preserve">2. </w:t>
      </w:r>
      <w:r w:rsidRPr="00C6388A">
        <w:rPr>
          <w:lang w:val="en-US"/>
        </w:rPr>
        <w:t>Standard fact sheet for strategic projects</w:t>
      </w:r>
      <w:bookmarkEnd w:id="13"/>
    </w:p>
    <w:p w:rsidR="00BD20C8" w:rsidRPr="00467D67" w:rsidRDefault="00467D67" w:rsidP="00C6388A">
      <w:pPr>
        <w:pStyle w:val="Heading2"/>
        <w:rPr>
          <w:lang w:val="en-US"/>
        </w:rPr>
      </w:pPr>
      <w:bookmarkStart w:id="14" w:name="_Toc485980993"/>
      <w:r>
        <w:rPr>
          <w:lang w:val="en-US"/>
        </w:rPr>
        <w:t>3</w:t>
      </w:r>
      <w:r w:rsidR="00BD20C8" w:rsidRPr="00467D67">
        <w:rPr>
          <w:lang w:val="en-US"/>
        </w:rPr>
        <w:t>. Excel worksheet for the ranking of strategic projects</w:t>
      </w:r>
      <w:bookmarkEnd w:id="14"/>
      <w:r w:rsidR="00BD20C8" w:rsidRPr="00467D67">
        <w:rPr>
          <w:lang w:val="en-US"/>
        </w:rPr>
        <w:t xml:space="preserve"> </w:t>
      </w:r>
    </w:p>
    <w:p w:rsidR="00BD20C8" w:rsidRPr="00467D67" w:rsidRDefault="00467D67" w:rsidP="00C6388A">
      <w:pPr>
        <w:pStyle w:val="Heading2"/>
        <w:rPr>
          <w:lang w:val="en-US"/>
        </w:rPr>
      </w:pPr>
      <w:bookmarkStart w:id="15" w:name="_Toc485980994"/>
      <w:r>
        <w:rPr>
          <w:lang w:val="en-US"/>
        </w:rPr>
        <w:t>4</w:t>
      </w:r>
      <w:r w:rsidR="00BD20C8" w:rsidRPr="00467D67">
        <w:rPr>
          <w:lang w:val="en-US"/>
        </w:rPr>
        <w:t>. Questionnaire for the assessment of the strategic projects</w:t>
      </w:r>
      <w:bookmarkEnd w:id="15"/>
    </w:p>
    <w:p w:rsidR="00BD20C8" w:rsidRDefault="00467D67" w:rsidP="00C6388A">
      <w:pPr>
        <w:pStyle w:val="Heading2"/>
        <w:rPr>
          <w:lang w:val="en-US"/>
        </w:rPr>
      </w:pPr>
      <w:bookmarkStart w:id="16" w:name="_Toc485980995"/>
      <w:r>
        <w:rPr>
          <w:lang w:val="en-US"/>
        </w:rPr>
        <w:t>5</w:t>
      </w:r>
      <w:r w:rsidR="00BD20C8" w:rsidRPr="00467D67">
        <w:rPr>
          <w:lang w:val="en-US"/>
        </w:rPr>
        <w:t>. Analysis of the questionnaire</w:t>
      </w:r>
      <w:bookmarkEnd w:id="16"/>
    </w:p>
    <w:p w:rsidR="00BD20C8" w:rsidRDefault="00BD20C8" w:rsidP="00B47636">
      <w:pPr>
        <w:spacing w:after="0" w:line="240" w:lineRule="auto"/>
        <w:jc w:val="both"/>
        <w:rPr>
          <w:rFonts w:ascii="Arial" w:hAnsi="Arial" w:cs="Arial"/>
          <w:sz w:val="24"/>
          <w:szCs w:val="24"/>
        </w:rPr>
      </w:pPr>
    </w:p>
    <w:sectPr w:rsidR="00BD20C8" w:rsidSect="00BC722F">
      <w:headerReference w:type="default" r:id="rId19"/>
      <w:footerReference w:type="default" r:id="rId20"/>
      <w:headerReference w:type="first" r:id="rId21"/>
      <w:footerReference w:type="first" r:id="rId22"/>
      <w:pgSz w:w="11906" w:h="16838" w:code="9"/>
      <w:pgMar w:top="2070" w:right="1440" w:bottom="1151" w:left="1440"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50C" w:rsidRDefault="00FF350C" w:rsidP="004B692E">
      <w:pPr>
        <w:spacing w:after="0" w:line="240" w:lineRule="auto"/>
      </w:pPr>
      <w:r>
        <w:separator/>
      </w:r>
    </w:p>
  </w:endnote>
  <w:endnote w:type="continuationSeparator" w:id="0">
    <w:p w:rsidR="00FF350C" w:rsidRDefault="00FF350C" w:rsidP="004B6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A0"/>
    </w:tblPr>
    <w:tblGrid>
      <w:gridCol w:w="2399"/>
      <w:gridCol w:w="4091"/>
      <w:gridCol w:w="2536"/>
    </w:tblGrid>
    <w:tr w:rsidR="003B21EA" w:rsidRPr="00E90513" w:rsidTr="00A10833">
      <w:tc>
        <w:tcPr>
          <w:tcW w:w="1329" w:type="pct"/>
        </w:tcPr>
        <w:p w:rsidR="003B21EA" w:rsidRPr="00C736CF" w:rsidRDefault="003B21EA" w:rsidP="00F373A0">
          <w:pPr>
            <w:pStyle w:val="Footer"/>
            <w:tabs>
              <w:tab w:val="clear" w:pos="4536"/>
              <w:tab w:val="clear" w:pos="9072"/>
            </w:tabs>
            <w:rPr>
              <w:sz w:val="18"/>
              <w:szCs w:val="18"/>
            </w:rPr>
          </w:pPr>
        </w:p>
      </w:tc>
      <w:tc>
        <w:tcPr>
          <w:tcW w:w="2266" w:type="pct"/>
        </w:tcPr>
        <w:p w:rsidR="003B21EA" w:rsidRPr="00C736CF" w:rsidRDefault="003B21EA" w:rsidP="00F373A0">
          <w:pPr>
            <w:pStyle w:val="Footer"/>
            <w:tabs>
              <w:tab w:val="clear" w:pos="4536"/>
              <w:tab w:val="clear" w:pos="9072"/>
            </w:tabs>
            <w:rPr>
              <w:sz w:val="18"/>
              <w:szCs w:val="18"/>
            </w:rPr>
          </w:pPr>
        </w:p>
      </w:tc>
      <w:tc>
        <w:tcPr>
          <w:tcW w:w="1405" w:type="pct"/>
        </w:tcPr>
        <w:p w:rsidR="003B21EA" w:rsidRPr="00E90513" w:rsidRDefault="003B21EA"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00D25A2E"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00D25A2E" w:rsidRPr="00E90513">
            <w:rPr>
              <w:rFonts w:ascii="Arial" w:hAnsi="Arial" w:cs="Arial"/>
              <w:b/>
              <w:sz w:val="14"/>
              <w:szCs w:val="14"/>
            </w:rPr>
            <w:fldChar w:fldCharType="separate"/>
          </w:r>
          <w:r w:rsidR="00FC16B2">
            <w:rPr>
              <w:rFonts w:ascii="Arial" w:hAnsi="Arial" w:cs="Arial"/>
              <w:b/>
              <w:noProof/>
              <w:sz w:val="14"/>
              <w:szCs w:val="14"/>
            </w:rPr>
            <w:t>2</w:t>
          </w:r>
          <w:r w:rsidR="00D25A2E" w:rsidRPr="00E90513">
            <w:rPr>
              <w:rFonts w:ascii="Arial" w:hAnsi="Arial" w:cs="Arial"/>
              <w:b/>
              <w:sz w:val="14"/>
              <w:szCs w:val="14"/>
            </w:rPr>
            <w:fldChar w:fldCharType="end"/>
          </w:r>
          <w:r w:rsidRPr="00E90513">
            <w:rPr>
              <w:rFonts w:ascii="Arial" w:hAnsi="Arial" w:cs="Arial"/>
              <w:sz w:val="14"/>
              <w:szCs w:val="14"/>
            </w:rPr>
            <w:t xml:space="preserve"> of </w:t>
          </w:r>
          <w:fldSimple w:instr=" NUMPAGES  \* Arabic  \* MERGEFORMAT ">
            <w:r w:rsidR="00FC16B2" w:rsidRPr="00FC16B2">
              <w:rPr>
                <w:rFonts w:ascii="Arial" w:hAnsi="Arial" w:cs="Arial"/>
                <w:b/>
                <w:noProof/>
                <w:sz w:val="14"/>
                <w:szCs w:val="14"/>
              </w:rPr>
              <w:t>21</w:t>
            </w:r>
          </w:fldSimple>
        </w:p>
      </w:tc>
    </w:tr>
  </w:tbl>
  <w:p w:rsidR="003B21EA" w:rsidRDefault="003B21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EA" w:rsidRPr="002A5C7B" w:rsidRDefault="00D25A2E" w:rsidP="002A5C7B">
    <w:pPr>
      <w:pStyle w:val="Footer"/>
      <w:rPr>
        <w:rFonts w:ascii="Segoe UI" w:hAnsi="Segoe UI" w:cs="Segoe UI"/>
        <w:sz w:val="12"/>
        <w:szCs w:val="12"/>
        <w:lang w:val="en-US"/>
      </w:rPr>
    </w:pPr>
    <w:r w:rsidRPr="00D25A2E">
      <w:rPr>
        <w:rFonts w:ascii="Segoe UI" w:hAnsi="Segoe UI" w:cs="Segoe UI"/>
        <w:sz w:val="12"/>
        <w:szCs w:val="12"/>
      </w:rPr>
      <w:pict>
        <v:shapetype id="_x0000_t32" coordsize="21600,21600" o:spt="32" o:oned="t" path="m,l21600,21600e" filled="f">
          <v:path arrowok="t" fillok="f" o:connecttype="none"/>
          <o:lock v:ext="edit" shapetype="t"/>
        </v:shapetype>
        <v:shape id="Straight Arrow Connector 6" o:spid="_x0000_s2094" type="#_x0000_t32" style="position:absolute;margin-left:-.4pt;margin-top:-1pt;width:451.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"/>
      </w:pict>
    </w:r>
    <w:r w:rsidR="003B21EA" w:rsidRPr="002A5C7B">
      <w:rPr>
        <w:rFonts w:ascii="Segoe UI" w:hAnsi="Segoe UI" w:cs="Segoe UI"/>
        <w:noProof/>
        <w:sz w:val="12"/>
        <w:szCs w:val="12"/>
        <w:lang w:val="en-US"/>
      </w:rPr>
      <w:drawing>
        <wp:anchor distT="0" distB="0" distL="114300" distR="114300" simplePos="0" relativeHeight="251670528" behindDoc="1" locked="0" layoutInCell="1" allowOverlap="1">
          <wp:simplePos x="0" y="0"/>
          <wp:positionH relativeFrom="column">
            <wp:posOffset>4644390</wp:posOffset>
          </wp:positionH>
          <wp:positionV relativeFrom="paragraph">
            <wp:posOffset>-4445</wp:posOffset>
          </wp:positionV>
          <wp:extent cx="1060450" cy="533400"/>
          <wp:effectExtent l="0" t="0" r="0" b="0"/>
          <wp:wrapThrough wrapText="bothSides">
            <wp:wrapPolygon edited="0">
              <wp:start x="0" y="0"/>
              <wp:lineTo x="0" y="20829"/>
              <wp:lineTo x="21341" y="20829"/>
              <wp:lineTo x="213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0450" cy="533400"/>
                  </a:xfrm>
                  <a:prstGeom prst="rect">
                    <a:avLst/>
                  </a:prstGeom>
                  <a:noFill/>
                </pic:spPr>
              </pic:pic>
            </a:graphicData>
          </a:graphic>
        </wp:anchor>
      </w:drawing>
    </w:r>
    <w:r w:rsidR="003B21EA" w:rsidRPr="002A5C7B">
      <w:rPr>
        <w:rFonts w:ascii="Segoe UI" w:hAnsi="Segoe UI" w:cs="Segoe UI"/>
        <w:sz w:val="12"/>
        <w:szCs w:val="12"/>
        <w:lang w:val="en-US"/>
      </w:rPr>
      <w:t>Belgrade Office</w:t>
    </w:r>
  </w:p>
  <w:p w:rsidR="003B21EA" w:rsidRPr="002A5C7B" w:rsidRDefault="003B21EA" w:rsidP="002A5C7B">
    <w:pPr>
      <w:pStyle w:val="Footer"/>
      <w:rPr>
        <w:rFonts w:ascii="Segoe UI" w:hAnsi="Segoe UI" w:cs="Segoe UI"/>
        <w:sz w:val="12"/>
        <w:szCs w:val="12"/>
        <w:lang w:val="en-US"/>
      </w:rPr>
    </w:pPr>
    <w:r>
      <w:rPr>
        <w:rFonts w:ascii="Segoe UI" w:hAnsi="Segoe UI" w:cs="Segoe UI"/>
        <w:sz w:val="12"/>
        <w:szCs w:val="12"/>
        <w:lang w:val="en-US"/>
      </w:rPr>
      <w:t>Resavska 28</w:t>
    </w:r>
  </w:p>
  <w:p w:rsidR="003B21EA" w:rsidRDefault="003B21EA" w:rsidP="002A5C7B">
    <w:pPr>
      <w:pStyle w:val="Footer"/>
      <w:rPr>
        <w:rFonts w:ascii="Segoe UI" w:hAnsi="Segoe UI" w:cs="Segoe UI"/>
        <w:sz w:val="12"/>
        <w:szCs w:val="12"/>
        <w:lang w:val="en-US"/>
      </w:rPr>
    </w:pPr>
    <w:r>
      <w:rPr>
        <w:rFonts w:ascii="Segoe UI" w:hAnsi="Segoe UI" w:cs="Segoe UI"/>
        <w:sz w:val="12"/>
        <w:szCs w:val="12"/>
        <w:lang w:val="en-US"/>
      </w:rPr>
      <w:t>+381 11 32 31 467</w:t>
    </w:r>
  </w:p>
  <w:p w:rsidR="003B21EA" w:rsidRPr="002A5C7B" w:rsidRDefault="003B21EA" w:rsidP="002A5C7B">
    <w:pPr>
      <w:pStyle w:val="Footer"/>
      <w:rPr>
        <w:rFonts w:ascii="Segoe UI" w:hAnsi="Segoe UI" w:cs="Segoe UI"/>
        <w:sz w:val="12"/>
        <w:szCs w:val="12"/>
        <w:lang w:val="en-US"/>
      </w:rPr>
    </w:pPr>
    <w:r>
      <w:rPr>
        <w:rFonts w:ascii="Segoe UI" w:hAnsi="Segoe UI" w:cs="Segoe UI"/>
        <w:sz w:val="12"/>
        <w:szCs w:val="12"/>
        <w:lang w:val="en-US"/>
      </w:rPr>
      <w:t>---------------------</w:t>
    </w:r>
  </w:p>
  <w:p w:rsidR="003B21EA" w:rsidRDefault="00D25A2E" w:rsidP="002A5C7B">
    <w:pPr>
      <w:pStyle w:val="Footer"/>
      <w:tabs>
        <w:tab w:val="left" w:pos="7513"/>
        <w:tab w:val="left" w:pos="7655"/>
      </w:tabs>
      <w:rPr>
        <w:rFonts w:ascii="Segoe UI" w:hAnsi="Segoe UI" w:cs="Segoe UI"/>
        <w:sz w:val="12"/>
        <w:szCs w:val="12"/>
      </w:rPr>
    </w:pPr>
    <w:hyperlink r:id="rId2" w:history="1">
      <w:r w:rsidR="003B21EA" w:rsidRPr="00B224E0">
        <w:rPr>
          <w:rStyle w:val="Hyperlink"/>
          <w:rFonts w:ascii="Segoe UI" w:hAnsi="Segoe UI" w:cs="Segoe UI"/>
          <w:sz w:val="12"/>
          <w:szCs w:val="12"/>
          <w:lang w:val="en-US"/>
        </w:rPr>
        <w:t>office@cbibplus.eu</w:t>
      </w:r>
    </w:hyperlink>
    <w:r w:rsidR="003B21EA">
      <w:rPr>
        <w:rFonts w:ascii="Segoe UI" w:hAnsi="Segoe UI" w:cs="Segoe UI"/>
        <w:sz w:val="12"/>
        <w:szCs w:val="12"/>
      </w:rPr>
      <w:tab/>
    </w:r>
    <w:r w:rsidR="003B21EA">
      <w:rPr>
        <w:rFonts w:ascii="Segoe UI" w:hAnsi="Segoe UI" w:cs="Segoe UI"/>
        <w:sz w:val="12"/>
        <w:szCs w:val="12"/>
      </w:rPr>
      <w:tab/>
      <w:t>A project implemented</w:t>
    </w:r>
  </w:p>
  <w:p w:rsidR="003B21EA" w:rsidRPr="002A5C7B" w:rsidRDefault="00D25A2E" w:rsidP="002A5C7B">
    <w:pPr>
      <w:pStyle w:val="Footer"/>
      <w:tabs>
        <w:tab w:val="left" w:pos="7513"/>
        <w:tab w:val="left" w:pos="7655"/>
      </w:tabs>
    </w:pPr>
    <w:hyperlink r:id="rId3" w:history="1">
      <w:r w:rsidR="003B21EA" w:rsidRPr="00B224E0">
        <w:rPr>
          <w:rStyle w:val="Hyperlink"/>
          <w:rFonts w:ascii="Segoe UI" w:hAnsi="Segoe UI" w:cs="Segoe UI"/>
          <w:sz w:val="12"/>
          <w:szCs w:val="12"/>
        </w:rPr>
        <w:t>www.cbibplus.eu</w:t>
      </w:r>
    </w:hyperlink>
    <w:r w:rsidR="003B21EA">
      <w:rPr>
        <w:rFonts w:ascii="Segoe UI" w:hAnsi="Segoe UI" w:cs="Segoe UI"/>
        <w:sz w:val="12"/>
        <w:szCs w:val="12"/>
      </w:rPr>
      <w:t xml:space="preserve"> </w:t>
    </w:r>
    <w:r w:rsidR="003B21EA">
      <w:rPr>
        <w:rFonts w:ascii="Segoe UI" w:hAnsi="Segoe UI" w:cs="Segoe UI"/>
        <w:sz w:val="12"/>
        <w:szCs w:val="12"/>
      </w:rPr>
      <w:tab/>
    </w:r>
    <w:r w:rsidR="003B21EA">
      <w:rPr>
        <w:rFonts w:ascii="Segoe UI" w:hAnsi="Segoe UI" w:cs="Segoe UI"/>
        <w:sz w:val="12"/>
        <w:szCs w:val="12"/>
      </w:rPr>
      <w:tab/>
      <w:t>by a consortium led by GIZ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50C" w:rsidRDefault="00FF350C" w:rsidP="004B692E">
      <w:pPr>
        <w:spacing w:after="0" w:line="240" w:lineRule="auto"/>
      </w:pPr>
      <w:r>
        <w:separator/>
      </w:r>
    </w:p>
  </w:footnote>
  <w:footnote w:type="continuationSeparator" w:id="0">
    <w:p w:rsidR="00FF350C" w:rsidRDefault="00FF350C" w:rsidP="004B692E">
      <w:pPr>
        <w:spacing w:after="0" w:line="240" w:lineRule="auto"/>
      </w:pPr>
      <w:r>
        <w:continuationSeparator/>
      </w:r>
    </w:p>
  </w:footnote>
  <w:footnote w:id="1">
    <w:p w:rsidR="003B21EA" w:rsidRPr="00135EA0" w:rsidRDefault="003B21EA" w:rsidP="00135EA0">
      <w:pPr>
        <w:pStyle w:val="FootnoteText"/>
        <w:ind w:left="0" w:firstLine="0"/>
        <w:rPr>
          <w:rFonts w:cs="Arial"/>
          <w:sz w:val="16"/>
          <w:szCs w:val="16"/>
        </w:rPr>
      </w:pPr>
      <w:r w:rsidRPr="00135EA0">
        <w:rPr>
          <w:rStyle w:val="FootnoteReference"/>
          <w:rFonts w:ascii="Arial" w:hAnsi="Arial" w:cs="Arial"/>
          <w:szCs w:val="16"/>
        </w:rPr>
        <w:t>*</w:t>
      </w:r>
      <w:r w:rsidRPr="00135EA0">
        <w:rPr>
          <w:rFonts w:cs="Arial"/>
          <w:bCs/>
          <w:iCs/>
          <w:sz w:val="16"/>
          <w:szCs w:val="16"/>
        </w:rPr>
        <w:t>This designation is without prejudice to positions on status, and is in line with UNSCR 1244 and the ICJ Opinion on the Kosovo declaration of independence.</w:t>
      </w:r>
    </w:p>
  </w:footnote>
  <w:footnote w:id="2">
    <w:p w:rsidR="003B21EA" w:rsidRPr="00F1172A" w:rsidRDefault="003B21EA">
      <w:pPr>
        <w:pStyle w:val="FootnoteText"/>
        <w:rPr>
          <w:sz w:val="16"/>
          <w:szCs w:val="16"/>
          <w:lang w:val="en-US"/>
        </w:rPr>
      </w:pPr>
      <w:r>
        <w:rPr>
          <w:rStyle w:val="FootnoteReference"/>
        </w:rPr>
        <w:footnoteRef/>
      </w:r>
      <w:r>
        <w:t xml:space="preserve"> </w:t>
      </w:r>
      <w:r w:rsidRPr="00F1172A">
        <w:rPr>
          <w:rFonts w:cs="Arial"/>
          <w:sz w:val="16"/>
          <w:szCs w:val="16"/>
          <w:lang w:val="en-US"/>
        </w:rPr>
        <w:t>The programme MK-AL explicitly excludes the use of programme funds to finance strategic projects at all.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EA" w:rsidRDefault="003B21EA" w:rsidP="004B692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EA" w:rsidRPr="00011933" w:rsidRDefault="003B21EA"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rsidR="003B21EA" w:rsidRPr="00011933" w:rsidRDefault="003B21EA"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rsidR="003B21EA" w:rsidRPr="00011933" w:rsidRDefault="003B21EA">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1AC"/>
    <w:multiLevelType w:val="hybridMultilevel"/>
    <w:tmpl w:val="F1F6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24087"/>
    <w:multiLevelType w:val="hybridMultilevel"/>
    <w:tmpl w:val="ABCE6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45F26"/>
    <w:multiLevelType w:val="hybridMultilevel"/>
    <w:tmpl w:val="BC50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33428A"/>
    <w:multiLevelType w:val="hybridMultilevel"/>
    <w:tmpl w:val="E4A2A710"/>
    <w:lvl w:ilvl="0" w:tplc="169485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1317B"/>
    <w:multiLevelType w:val="hybridMultilevel"/>
    <w:tmpl w:val="B96C0690"/>
    <w:lvl w:ilvl="0" w:tplc="A95A8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6141E"/>
    <w:multiLevelType w:val="hybridMultilevel"/>
    <w:tmpl w:val="BC50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074F5"/>
    <w:multiLevelType w:val="hybridMultilevel"/>
    <w:tmpl w:val="40D0CEF4"/>
    <w:lvl w:ilvl="0" w:tplc="BC0832DE">
      <w:numFmt w:val="bullet"/>
      <w:lvlText w:val="-"/>
      <w:lvlJc w:val="left"/>
      <w:pPr>
        <w:ind w:left="720" w:hanging="360"/>
      </w:pPr>
      <w:rPr>
        <w:rFonts w:ascii="EUAlbertina" w:eastAsia="Times New Roman" w:hAnsi="EUAlberti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90D45"/>
    <w:multiLevelType w:val="hybridMultilevel"/>
    <w:tmpl w:val="5EC888D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37CD7638"/>
    <w:multiLevelType w:val="hybridMultilevel"/>
    <w:tmpl w:val="364C5F9A"/>
    <w:lvl w:ilvl="0" w:tplc="331E5982">
      <w:start w:val="1"/>
      <w:numFmt w:val="bullet"/>
      <w:lvlText w:val="-"/>
      <w:lvlJc w:val="left"/>
      <w:pPr>
        <w:tabs>
          <w:tab w:val="num" w:pos="720"/>
        </w:tabs>
        <w:ind w:left="720" w:hanging="360"/>
      </w:pPr>
      <w:rPr>
        <w:rFonts w:ascii="Times New Roman" w:hAnsi="Times New Roman" w:hint="default"/>
      </w:rPr>
    </w:lvl>
    <w:lvl w:ilvl="1" w:tplc="287C7A48" w:tentative="1">
      <w:start w:val="1"/>
      <w:numFmt w:val="bullet"/>
      <w:lvlText w:val="-"/>
      <w:lvlJc w:val="left"/>
      <w:pPr>
        <w:tabs>
          <w:tab w:val="num" w:pos="1440"/>
        </w:tabs>
        <w:ind w:left="1440" w:hanging="360"/>
      </w:pPr>
      <w:rPr>
        <w:rFonts w:ascii="Times New Roman" w:hAnsi="Times New Roman" w:hint="default"/>
      </w:rPr>
    </w:lvl>
    <w:lvl w:ilvl="2" w:tplc="A344D9A2" w:tentative="1">
      <w:start w:val="1"/>
      <w:numFmt w:val="bullet"/>
      <w:lvlText w:val="-"/>
      <w:lvlJc w:val="left"/>
      <w:pPr>
        <w:tabs>
          <w:tab w:val="num" w:pos="2160"/>
        </w:tabs>
        <w:ind w:left="2160" w:hanging="360"/>
      </w:pPr>
      <w:rPr>
        <w:rFonts w:ascii="Times New Roman" w:hAnsi="Times New Roman" w:hint="default"/>
      </w:rPr>
    </w:lvl>
    <w:lvl w:ilvl="3" w:tplc="C896CD58" w:tentative="1">
      <w:start w:val="1"/>
      <w:numFmt w:val="bullet"/>
      <w:lvlText w:val="-"/>
      <w:lvlJc w:val="left"/>
      <w:pPr>
        <w:tabs>
          <w:tab w:val="num" w:pos="2880"/>
        </w:tabs>
        <w:ind w:left="2880" w:hanging="360"/>
      </w:pPr>
      <w:rPr>
        <w:rFonts w:ascii="Times New Roman" w:hAnsi="Times New Roman" w:hint="default"/>
      </w:rPr>
    </w:lvl>
    <w:lvl w:ilvl="4" w:tplc="5B8C6948" w:tentative="1">
      <w:start w:val="1"/>
      <w:numFmt w:val="bullet"/>
      <w:lvlText w:val="-"/>
      <w:lvlJc w:val="left"/>
      <w:pPr>
        <w:tabs>
          <w:tab w:val="num" w:pos="3600"/>
        </w:tabs>
        <w:ind w:left="3600" w:hanging="360"/>
      </w:pPr>
      <w:rPr>
        <w:rFonts w:ascii="Times New Roman" w:hAnsi="Times New Roman" w:hint="default"/>
      </w:rPr>
    </w:lvl>
    <w:lvl w:ilvl="5" w:tplc="73E218F4" w:tentative="1">
      <w:start w:val="1"/>
      <w:numFmt w:val="bullet"/>
      <w:lvlText w:val="-"/>
      <w:lvlJc w:val="left"/>
      <w:pPr>
        <w:tabs>
          <w:tab w:val="num" w:pos="4320"/>
        </w:tabs>
        <w:ind w:left="4320" w:hanging="360"/>
      </w:pPr>
      <w:rPr>
        <w:rFonts w:ascii="Times New Roman" w:hAnsi="Times New Roman" w:hint="default"/>
      </w:rPr>
    </w:lvl>
    <w:lvl w:ilvl="6" w:tplc="8CB0E792" w:tentative="1">
      <w:start w:val="1"/>
      <w:numFmt w:val="bullet"/>
      <w:lvlText w:val="-"/>
      <w:lvlJc w:val="left"/>
      <w:pPr>
        <w:tabs>
          <w:tab w:val="num" w:pos="5040"/>
        </w:tabs>
        <w:ind w:left="5040" w:hanging="360"/>
      </w:pPr>
      <w:rPr>
        <w:rFonts w:ascii="Times New Roman" w:hAnsi="Times New Roman" w:hint="default"/>
      </w:rPr>
    </w:lvl>
    <w:lvl w:ilvl="7" w:tplc="5D9A5A88" w:tentative="1">
      <w:start w:val="1"/>
      <w:numFmt w:val="bullet"/>
      <w:lvlText w:val="-"/>
      <w:lvlJc w:val="left"/>
      <w:pPr>
        <w:tabs>
          <w:tab w:val="num" w:pos="5760"/>
        </w:tabs>
        <w:ind w:left="5760" w:hanging="360"/>
      </w:pPr>
      <w:rPr>
        <w:rFonts w:ascii="Times New Roman" w:hAnsi="Times New Roman" w:hint="default"/>
      </w:rPr>
    </w:lvl>
    <w:lvl w:ilvl="8" w:tplc="7B92F6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BB00CD3"/>
    <w:multiLevelType w:val="hybridMultilevel"/>
    <w:tmpl w:val="6E8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A3286"/>
    <w:multiLevelType w:val="hybridMultilevel"/>
    <w:tmpl w:val="EA88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001A7"/>
    <w:multiLevelType w:val="hybridMultilevel"/>
    <w:tmpl w:val="30EC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72584"/>
    <w:multiLevelType w:val="multilevel"/>
    <w:tmpl w:val="DC6840EA"/>
    <w:lvl w:ilvl="0">
      <w:start w:val="1"/>
      <w:numFmt w:val="decimal"/>
      <w:pStyle w:val="NumPar1"/>
      <w:lvlText w:val="(%1)"/>
      <w:lvlJc w:val="left"/>
      <w:pPr>
        <w:tabs>
          <w:tab w:val="num" w:pos="850"/>
        </w:tabs>
        <w:ind w:left="850" w:hanging="850"/>
      </w:pPr>
      <w:rPr>
        <w:rFonts w:hint="default"/>
        <w:b w:val="0"/>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4407D36"/>
    <w:multiLevelType w:val="hybridMultilevel"/>
    <w:tmpl w:val="AFF0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321FFB"/>
    <w:multiLevelType w:val="hybridMultilevel"/>
    <w:tmpl w:val="16A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604"/>
    <w:multiLevelType w:val="hybridMultilevel"/>
    <w:tmpl w:val="55AC424E"/>
    <w:lvl w:ilvl="0" w:tplc="F50A3C6E">
      <w:start w:val="1"/>
      <w:numFmt w:val="bullet"/>
      <w:lvlText w:val="•"/>
      <w:lvlJc w:val="left"/>
      <w:pPr>
        <w:tabs>
          <w:tab w:val="num" w:pos="360"/>
        </w:tabs>
        <w:ind w:left="360" w:hanging="360"/>
      </w:pPr>
      <w:rPr>
        <w:rFonts w:ascii="Arial" w:hAnsi="Arial" w:hint="default"/>
      </w:rPr>
    </w:lvl>
    <w:lvl w:ilvl="1" w:tplc="9D2E637C" w:tentative="1">
      <w:start w:val="1"/>
      <w:numFmt w:val="bullet"/>
      <w:lvlText w:val="•"/>
      <w:lvlJc w:val="left"/>
      <w:pPr>
        <w:tabs>
          <w:tab w:val="num" w:pos="1080"/>
        </w:tabs>
        <w:ind w:left="1080" w:hanging="360"/>
      </w:pPr>
      <w:rPr>
        <w:rFonts w:ascii="Arial" w:hAnsi="Arial" w:hint="default"/>
      </w:rPr>
    </w:lvl>
    <w:lvl w:ilvl="2" w:tplc="EBA830C6" w:tentative="1">
      <w:start w:val="1"/>
      <w:numFmt w:val="bullet"/>
      <w:lvlText w:val="•"/>
      <w:lvlJc w:val="left"/>
      <w:pPr>
        <w:tabs>
          <w:tab w:val="num" w:pos="1800"/>
        </w:tabs>
        <w:ind w:left="1800" w:hanging="360"/>
      </w:pPr>
      <w:rPr>
        <w:rFonts w:ascii="Arial" w:hAnsi="Arial" w:hint="default"/>
      </w:rPr>
    </w:lvl>
    <w:lvl w:ilvl="3" w:tplc="84B820D2" w:tentative="1">
      <w:start w:val="1"/>
      <w:numFmt w:val="bullet"/>
      <w:lvlText w:val="•"/>
      <w:lvlJc w:val="left"/>
      <w:pPr>
        <w:tabs>
          <w:tab w:val="num" w:pos="2520"/>
        </w:tabs>
        <w:ind w:left="2520" w:hanging="360"/>
      </w:pPr>
      <w:rPr>
        <w:rFonts w:ascii="Arial" w:hAnsi="Arial" w:hint="default"/>
      </w:rPr>
    </w:lvl>
    <w:lvl w:ilvl="4" w:tplc="7D127CE0" w:tentative="1">
      <w:start w:val="1"/>
      <w:numFmt w:val="bullet"/>
      <w:lvlText w:val="•"/>
      <w:lvlJc w:val="left"/>
      <w:pPr>
        <w:tabs>
          <w:tab w:val="num" w:pos="3240"/>
        </w:tabs>
        <w:ind w:left="3240" w:hanging="360"/>
      </w:pPr>
      <w:rPr>
        <w:rFonts w:ascii="Arial" w:hAnsi="Arial" w:hint="default"/>
      </w:rPr>
    </w:lvl>
    <w:lvl w:ilvl="5" w:tplc="256C2200" w:tentative="1">
      <w:start w:val="1"/>
      <w:numFmt w:val="bullet"/>
      <w:lvlText w:val="•"/>
      <w:lvlJc w:val="left"/>
      <w:pPr>
        <w:tabs>
          <w:tab w:val="num" w:pos="3960"/>
        </w:tabs>
        <w:ind w:left="3960" w:hanging="360"/>
      </w:pPr>
      <w:rPr>
        <w:rFonts w:ascii="Arial" w:hAnsi="Arial" w:hint="default"/>
      </w:rPr>
    </w:lvl>
    <w:lvl w:ilvl="6" w:tplc="D8A84202" w:tentative="1">
      <w:start w:val="1"/>
      <w:numFmt w:val="bullet"/>
      <w:lvlText w:val="•"/>
      <w:lvlJc w:val="left"/>
      <w:pPr>
        <w:tabs>
          <w:tab w:val="num" w:pos="4680"/>
        </w:tabs>
        <w:ind w:left="4680" w:hanging="360"/>
      </w:pPr>
      <w:rPr>
        <w:rFonts w:ascii="Arial" w:hAnsi="Arial" w:hint="default"/>
      </w:rPr>
    </w:lvl>
    <w:lvl w:ilvl="7" w:tplc="B4D6EADE" w:tentative="1">
      <w:start w:val="1"/>
      <w:numFmt w:val="bullet"/>
      <w:lvlText w:val="•"/>
      <w:lvlJc w:val="left"/>
      <w:pPr>
        <w:tabs>
          <w:tab w:val="num" w:pos="5400"/>
        </w:tabs>
        <w:ind w:left="5400" w:hanging="360"/>
      </w:pPr>
      <w:rPr>
        <w:rFonts w:ascii="Arial" w:hAnsi="Arial" w:hint="default"/>
      </w:rPr>
    </w:lvl>
    <w:lvl w:ilvl="8" w:tplc="CC1E386C" w:tentative="1">
      <w:start w:val="1"/>
      <w:numFmt w:val="bullet"/>
      <w:lvlText w:val="•"/>
      <w:lvlJc w:val="left"/>
      <w:pPr>
        <w:tabs>
          <w:tab w:val="num" w:pos="6120"/>
        </w:tabs>
        <w:ind w:left="6120" w:hanging="360"/>
      </w:pPr>
      <w:rPr>
        <w:rFonts w:ascii="Arial" w:hAnsi="Arial" w:hint="default"/>
      </w:rPr>
    </w:lvl>
  </w:abstractNum>
  <w:abstractNum w:abstractNumId="25">
    <w:nsid w:val="527778BF"/>
    <w:multiLevelType w:val="hybridMultilevel"/>
    <w:tmpl w:val="84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2319E"/>
    <w:multiLevelType w:val="hybridMultilevel"/>
    <w:tmpl w:val="6820278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8">
    <w:nsid w:val="58A320F7"/>
    <w:multiLevelType w:val="hybridMultilevel"/>
    <w:tmpl w:val="A8FE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939C9"/>
    <w:multiLevelType w:val="multilevel"/>
    <w:tmpl w:val="E62EF966"/>
    <w:lvl w:ilvl="0">
      <w:start w:val="1"/>
      <w:numFmt w:val="decimal"/>
      <w:lvlText w:val="%1."/>
      <w:lvlJc w:val="left"/>
      <w:pPr>
        <w:ind w:left="720" w:hanging="360"/>
      </w:pPr>
      <w:rPr>
        <w:rFonts w:ascii="Arial" w:eastAsiaTheme="minorHAns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CE3304E"/>
    <w:multiLevelType w:val="hybridMultilevel"/>
    <w:tmpl w:val="D826EB5A"/>
    <w:lvl w:ilvl="0" w:tplc="A2F41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04001"/>
    <w:multiLevelType w:val="hybridMultilevel"/>
    <w:tmpl w:val="384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02EC6"/>
    <w:multiLevelType w:val="multilevel"/>
    <w:tmpl w:val="281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83596"/>
    <w:multiLevelType w:val="hybridMultilevel"/>
    <w:tmpl w:val="0D223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826EAC"/>
    <w:multiLevelType w:val="hybridMultilevel"/>
    <w:tmpl w:val="2D54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57B4D0E"/>
    <w:multiLevelType w:val="hybridMultilevel"/>
    <w:tmpl w:val="8E8CFFA0"/>
    <w:lvl w:ilvl="0" w:tplc="A17C8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521ED1"/>
    <w:multiLevelType w:val="hybridMultilevel"/>
    <w:tmpl w:val="C550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81AA4"/>
    <w:multiLevelType w:val="hybridMultilevel"/>
    <w:tmpl w:val="61FC77C2"/>
    <w:lvl w:ilvl="0" w:tplc="0DA0062E">
      <w:start w:val="1"/>
      <w:numFmt w:val="lowerRoman"/>
      <w:lvlText w:val="(%1)"/>
      <w:lvlJc w:val="left"/>
      <w:pPr>
        <w:ind w:left="2160" w:hanging="360"/>
      </w:pPr>
      <w:rPr>
        <w:rFonts w:ascii="Times New Roman" w:hAnsi="Times New Roman" w:hint="default"/>
        <w:caps w:val="0"/>
        <w:strike w:val="0"/>
        <w:dstrike w:val="0"/>
        <w:vanish w:val="0"/>
        <w:color w:val="00000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DB56302"/>
    <w:multiLevelType w:val="hybridMultilevel"/>
    <w:tmpl w:val="A9D84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861908"/>
    <w:multiLevelType w:val="hybridMultilevel"/>
    <w:tmpl w:val="041A974E"/>
    <w:lvl w:ilvl="0" w:tplc="F604BD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4"/>
  </w:num>
  <w:num w:numId="3">
    <w:abstractNumId w:val="41"/>
  </w:num>
  <w:num w:numId="4">
    <w:abstractNumId w:val="1"/>
  </w:num>
  <w:num w:numId="5">
    <w:abstractNumId w:val="47"/>
  </w:num>
  <w:num w:numId="6">
    <w:abstractNumId w:val="26"/>
  </w:num>
  <w:num w:numId="7">
    <w:abstractNumId w:val="34"/>
  </w:num>
  <w:num w:numId="8">
    <w:abstractNumId w:val="43"/>
  </w:num>
  <w:num w:numId="9">
    <w:abstractNumId w:val="10"/>
  </w:num>
  <w:num w:numId="10">
    <w:abstractNumId w:val="22"/>
  </w:num>
  <w:num w:numId="11">
    <w:abstractNumId w:val="32"/>
  </w:num>
  <w:num w:numId="12">
    <w:abstractNumId w:val="38"/>
  </w:num>
  <w:num w:numId="13">
    <w:abstractNumId w:val="11"/>
  </w:num>
  <w:num w:numId="14">
    <w:abstractNumId w:val="33"/>
  </w:num>
  <w:num w:numId="15">
    <w:abstractNumId w:val="21"/>
  </w:num>
  <w:num w:numId="16">
    <w:abstractNumId w:val="6"/>
  </w:num>
  <w:num w:numId="17">
    <w:abstractNumId w:val="35"/>
  </w:num>
  <w:num w:numId="18">
    <w:abstractNumId w:val="9"/>
  </w:num>
  <w:num w:numId="19">
    <w:abstractNumId w:val="48"/>
  </w:num>
  <w:num w:numId="20">
    <w:abstractNumId w:val="29"/>
  </w:num>
  <w:num w:numId="21">
    <w:abstractNumId w:val="30"/>
  </w:num>
  <w:num w:numId="22">
    <w:abstractNumId w:val="13"/>
  </w:num>
  <w:num w:numId="23">
    <w:abstractNumId w:val="18"/>
  </w:num>
  <w:num w:numId="24">
    <w:abstractNumId w:val="49"/>
  </w:num>
  <w:num w:numId="25">
    <w:abstractNumId w:val="42"/>
  </w:num>
  <w:num w:numId="26">
    <w:abstractNumId w:val="14"/>
  </w:num>
  <w:num w:numId="27">
    <w:abstractNumId w:val="12"/>
  </w:num>
  <w:num w:numId="28">
    <w:abstractNumId w:val="17"/>
  </w:num>
  <w:num w:numId="29">
    <w:abstractNumId w:val="45"/>
  </w:num>
  <w:num w:numId="30">
    <w:abstractNumId w:val="7"/>
  </w:num>
  <w:num w:numId="31">
    <w:abstractNumId w:val="3"/>
  </w:num>
  <w:num w:numId="32">
    <w:abstractNumId w:val="46"/>
  </w:num>
  <w:num w:numId="33">
    <w:abstractNumId w:val="44"/>
  </w:num>
  <w:num w:numId="34">
    <w:abstractNumId w:val="25"/>
  </w:num>
  <w:num w:numId="35">
    <w:abstractNumId w:val="24"/>
  </w:num>
  <w:num w:numId="36">
    <w:abstractNumId w:val="5"/>
  </w:num>
  <w:num w:numId="37">
    <w:abstractNumId w:val="37"/>
  </w:num>
  <w:num w:numId="38">
    <w:abstractNumId w:val="16"/>
  </w:num>
  <w:num w:numId="39">
    <w:abstractNumId w:val="28"/>
  </w:num>
  <w:num w:numId="40">
    <w:abstractNumId w:val="39"/>
  </w:num>
  <w:num w:numId="41">
    <w:abstractNumId w:val="15"/>
  </w:num>
  <w:num w:numId="42">
    <w:abstractNumId w:val="40"/>
  </w:num>
  <w:num w:numId="43">
    <w:abstractNumId w:val="36"/>
  </w:num>
  <w:num w:numId="44">
    <w:abstractNumId w:val="2"/>
  </w:num>
  <w:num w:numId="45">
    <w:abstractNumId w:val="0"/>
  </w:num>
  <w:num w:numId="46">
    <w:abstractNumId w:val="23"/>
  </w:num>
  <w:num w:numId="47">
    <w:abstractNumId w:val="19"/>
  </w:num>
  <w:num w:numId="48">
    <w:abstractNumId w:val="31"/>
  </w:num>
  <w:num w:numId="49">
    <w:abstractNumId w:val="27"/>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2095"/>
    <o:shapelayout v:ext="edit">
      <o:idmap v:ext="edit" data="2"/>
      <o:rules v:ext="edit">
        <o:r id="V:Rule2" type="connector" idref="#Straight Arrow Connector 6"/>
      </o:rules>
    </o:shapelayout>
  </w:hdrShapeDefaults>
  <w:footnotePr>
    <w:footnote w:id="-1"/>
    <w:footnote w:id="0"/>
  </w:footnotePr>
  <w:endnotePr>
    <w:endnote w:id="-1"/>
    <w:endnote w:id="0"/>
  </w:endnotePr>
  <w:compat/>
  <w:rsids>
    <w:rsidRoot w:val="004B692E"/>
    <w:rsid w:val="00000B25"/>
    <w:rsid w:val="00006265"/>
    <w:rsid w:val="00011933"/>
    <w:rsid w:val="00012238"/>
    <w:rsid w:val="0001275E"/>
    <w:rsid w:val="00021A8B"/>
    <w:rsid w:val="000258C5"/>
    <w:rsid w:val="00026A68"/>
    <w:rsid w:val="00030328"/>
    <w:rsid w:val="00034ADA"/>
    <w:rsid w:val="00036B0C"/>
    <w:rsid w:val="00040BEA"/>
    <w:rsid w:val="000426AC"/>
    <w:rsid w:val="00047A69"/>
    <w:rsid w:val="00053327"/>
    <w:rsid w:val="00054906"/>
    <w:rsid w:val="000600F3"/>
    <w:rsid w:val="00061949"/>
    <w:rsid w:val="00070842"/>
    <w:rsid w:val="00070F61"/>
    <w:rsid w:val="00071945"/>
    <w:rsid w:val="00097514"/>
    <w:rsid w:val="000B32E1"/>
    <w:rsid w:val="000C1841"/>
    <w:rsid w:val="000D0BAF"/>
    <w:rsid w:val="000E474E"/>
    <w:rsid w:val="000F0BE8"/>
    <w:rsid w:val="00101689"/>
    <w:rsid w:val="00107552"/>
    <w:rsid w:val="00115297"/>
    <w:rsid w:val="0011592C"/>
    <w:rsid w:val="00125C95"/>
    <w:rsid w:val="0012781F"/>
    <w:rsid w:val="00135EA0"/>
    <w:rsid w:val="00144E41"/>
    <w:rsid w:val="001546EF"/>
    <w:rsid w:val="0016025F"/>
    <w:rsid w:val="00160C15"/>
    <w:rsid w:val="00160D36"/>
    <w:rsid w:val="001644FA"/>
    <w:rsid w:val="001762F5"/>
    <w:rsid w:val="00176BAA"/>
    <w:rsid w:val="00182275"/>
    <w:rsid w:val="00190E32"/>
    <w:rsid w:val="001922D6"/>
    <w:rsid w:val="001936FD"/>
    <w:rsid w:val="001953D9"/>
    <w:rsid w:val="001A5677"/>
    <w:rsid w:val="001B60D9"/>
    <w:rsid w:val="001C6F55"/>
    <w:rsid w:val="001C739D"/>
    <w:rsid w:val="001F1342"/>
    <w:rsid w:val="001F631F"/>
    <w:rsid w:val="0021340A"/>
    <w:rsid w:val="00216F80"/>
    <w:rsid w:val="002210C8"/>
    <w:rsid w:val="002326D3"/>
    <w:rsid w:val="00233DE9"/>
    <w:rsid w:val="00237AA5"/>
    <w:rsid w:val="00244C95"/>
    <w:rsid w:val="0026316B"/>
    <w:rsid w:val="0027395B"/>
    <w:rsid w:val="00286C98"/>
    <w:rsid w:val="00295237"/>
    <w:rsid w:val="002A38E7"/>
    <w:rsid w:val="002A5C7B"/>
    <w:rsid w:val="002A7698"/>
    <w:rsid w:val="002B450B"/>
    <w:rsid w:val="002B7C4D"/>
    <w:rsid w:val="002C3E64"/>
    <w:rsid w:val="002D3A67"/>
    <w:rsid w:val="002D669B"/>
    <w:rsid w:val="002F6216"/>
    <w:rsid w:val="002F762E"/>
    <w:rsid w:val="002F77EC"/>
    <w:rsid w:val="00304CE3"/>
    <w:rsid w:val="00307BCB"/>
    <w:rsid w:val="00316F9D"/>
    <w:rsid w:val="00321E1B"/>
    <w:rsid w:val="00333D2A"/>
    <w:rsid w:val="003565F5"/>
    <w:rsid w:val="003602DF"/>
    <w:rsid w:val="00360A5E"/>
    <w:rsid w:val="00361750"/>
    <w:rsid w:val="003663E2"/>
    <w:rsid w:val="00397AEB"/>
    <w:rsid w:val="003A3D55"/>
    <w:rsid w:val="003B21EA"/>
    <w:rsid w:val="003C1973"/>
    <w:rsid w:val="003C1E6C"/>
    <w:rsid w:val="003C2377"/>
    <w:rsid w:val="003D420B"/>
    <w:rsid w:val="003D5EA3"/>
    <w:rsid w:val="003E3046"/>
    <w:rsid w:val="003F08CF"/>
    <w:rsid w:val="003F0C3E"/>
    <w:rsid w:val="003F0E4F"/>
    <w:rsid w:val="00400DFD"/>
    <w:rsid w:val="0043347C"/>
    <w:rsid w:val="004415F0"/>
    <w:rsid w:val="00460DB4"/>
    <w:rsid w:val="004663AC"/>
    <w:rsid w:val="00467D67"/>
    <w:rsid w:val="004877ED"/>
    <w:rsid w:val="004931FE"/>
    <w:rsid w:val="004947C3"/>
    <w:rsid w:val="004A0403"/>
    <w:rsid w:val="004A0FC1"/>
    <w:rsid w:val="004A67DC"/>
    <w:rsid w:val="004B692E"/>
    <w:rsid w:val="004B6FCD"/>
    <w:rsid w:val="004B737E"/>
    <w:rsid w:val="004C4A4F"/>
    <w:rsid w:val="004F27E5"/>
    <w:rsid w:val="0050514A"/>
    <w:rsid w:val="00513E29"/>
    <w:rsid w:val="00514722"/>
    <w:rsid w:val="00531659"/>
    <w:rsid w:val="00531EC4"/>
    <w:rsid w:val="0053597C"/>
    <w:rsid w:val="00555B2F"/>
    <w:rsid w:val="00555EC6"/>
    <w:rsid w:val="00563257"/>
    <w:rsid w:val="0056578E"/>
    <w:rsid w:val="00566557"/>
    <w:rsid w:val="005715EF"/>
    <w:rsid w:val="00573BB6"/>
    <w:rsid w:val="00575648"/>
    <w:rsid w:val="00577314"/>
    <w:rsid w:val="0058708F"/>
    <w:rsid w:val="00587D77"/>
    <w:rsid w:val="005A1138"/>
    <w:rsid w:val="005A3B97"/>
    <w:rsid w:val="005B1438"/>
    <w:rsid w:val="005B509C"/>
    <w:rsid w:val="005B6F31"/>
    <w:rsid w:val="005B75C8"/>
    <w:rsid w:val="005C0ECB"/>
    <w:rsid w:val="005C2C7B"/>
    <w:rsid w:val="005D0C08"/>
    <w:rsid w:val="005D3452"/>
    <w:rsid w:val="005F47D1"/>
    <w:rsid w:val="005F486A"/>
    <w:rsid w:val="006246F4"/>
    <w:rsid w:val="00635500"/>
    <w:rsid w:val="00637B11"/>
    <w:rsid w:val="00643B83"/>
    <w:rsid w:val="006463B6"/>
    <w:rsid w:val="00646A80"/>
    <w:rsid w:val="00657819"/>
    <w:rsid w:val="00661623"/>
    <w:rsid w:val="006626C0"/>
    <w:rsid w:val="00662E69"/>
    <w:rsid w:val="006657B1"/>
    <w:rsid w:val="00672409"/>
    <w:rsid w:val="00675EFC"/>
    <w:rsid w:val="006804B0"/>
    <w:rsid w:val="00692281"/>
    <w:rsid w:val="006958E7"/>
    <w:rsid w:val="006A1698"/>
    <w:rsid w:val="006A29EF"/>
    <w:rsid w:val="006B49D3"/>
    <w:rsid w:val="006B4F9B"/>
    <w:rsid w:val="006B5D87"/>
    <w:rsid w:val="006C1E41"/>
    <w:rsid w:val="006C2F69"/>
    <w:rsid w:val="006C33C7"/>
    <w:rsid w:val="006C4642"/>
    <w:rsid w:val="006D6F19"/>
    <w:rsid w:val="006F5FEC"/>
    <w:rsid w:val="007054D8"/>
    <w:rsid w:val="00707D5C"/>
    <w:rsid w:val="007142C7"/>
    <w:rsid w:val="007226BC"/>
    <w:rsid w:val="007267B4"/>
    <w:rsid w:val="00730E4E"/>
    <w:rsid w:val="007320AA"/>
    <w:rsid w:val="00732137"/>
    <w:rsid w:val="00741F90"/>
    <w:rsid w:val="00745508"/>
    <w:rsid w:val="00746141"/>
    <w:rsid w:val="00751014"/>
    <w:rsid w:val="0075164D"/>
    <w:rsid w:val="00772342"/>
    <w:rsid w:val="007742C5"/>
    <w:rsid w:val="00782BD5"/>
    <w:rsid w:val="007830C6"/>
    <w:rsid w:val="007940E4"/>
    <w:rsid w:val="00797E8A"/>
    <w:rsid w:val="007A032F"/>
    <w:rsid w:val="007A2A1A"/>
    <w:rsid w:val="007A4286"/>
    <w:rsid w:val="007A5DE7"/>
    <w:rsid w:val="007A7B37"/>
    <w:rsid w:val="007C00EC"/>
    <w:rsid w:val="007C6E20"/>
    <w:rsid w:val="007D7360"/>
    <w:rsid w:val="007E1E48"/>
    <w:rsid w:val="007E28DD"/>
    <w:rsid w:val="007F638E"/>
    <w:rsid w:val="00822FF8"/>
    <w:rsid w:val="008262B5"/>
    <w:rsid w:val="00827BA7"/>
    <w:rsid w:val="00841E5F"/>
    <w:rsid w:val="00842621"/>
    <w:rsid w:val="00880200"/>
    <w:rsid w:val="00883437"/>
    <w:rsid w:val="00887CEB"/>
    <w:rsid w:val="008964DB"/>
    <w:rsid w:val="00897621"/>
    <w:rsid w:val="008A74A5"/>
    <w:rsid w:val="008B0493"/>
    <w:rsid w:val="008B67E2"/>
    <w:rsid w:val="008D3587"/>
    <w:rsid w:val="008F07FE"/>
    <w:rsid w:val="00907D1B"/>
    <w:rsid w:val="0091341F"/>
    <w:rsid w:val="009155E0"/>
    <w:rsid w:val="0092324B"/>
    <w:rsid w:val="00953A0A"/>
    <w:rsid w:val="00955499"/>
    <w:rsid w:val="00972A01"/>
    <w:rsid w:val="00980544"/>
    <w:rsid w:val="00984EB5"/>
    <w:rsid w:val="009870D0"/>
    <w:rsid w:val="009A5368"/>
    <w:rsid w:val="009A66B6"/>
    <w:rsid w:val="009D0DBF"/>
    <w:rsid w:val="009D1DDB"/>
    <w:rsid w:val="009E637C"/>
    <w:rsid w:val="009F6C17"/>
    <w:rsid w:val="00A01C52"/>
    <w:rsid w:val="00A06CC6"/>
    <w:rsid w:val="00A10833"/>
    <w:rsid w:val="00A12DBD"/>
    <w:rsid w:val="00A150AE"/>
    <w:rsid w:val="00A265C3"/>
    <w:rsid w:val="00A275AB"/>
    <w:rsid w:val="00A30881"/>
    <w:rsid w:val="00A310F7"/>
    <w:rsid w:val="00A34D81"/>
    <w:rsid w:val="00A43F64"/>
    <w:rsid w:val="00A622E9"/>
    <w:rsid w:val="00A62B38"/>
    <w:rsid w:val="00A70ED8"/>
    <w:rsid w:val="00A757AD"/>
    <w:rsid w:val="00AA09D4"/>
    <w:rsid w:val="00AA3189"/>
    <w:rsid w:val="00AC31FA"/>
    <w:rsid w:val="00AC40E1"/>
    <w:rsid w:val="00AD1836"/>
    <w:rsid w:val="00AD363E"/>
    <w:rsid w:val="00B0021E"/>
    <w:rsid w:val="00B36F80"/>
    <w:rsid w:val="00B37986"/>
    <w:rsid w:val="00B446BF"/>
    <w:rsid w:val="00B44B3D"/>
    <w:rsid w:val="00B47636"/>
    <w:rsid w:val="00B55049"/>
    <w:rsid w:val="00B5536B"/>
    <w:rsid w:val="00B56399"/>
    <w:rsid w:val="00B64A8B"/>
    <w:rsid w:val="00B653AD"/>
    <w:rsid w:val="00B71143"/>
    <w:rsid w:val="00B81185"/>
    <w:rsid w:val="00B9101C"/>
    <w:rsid w:val="00B972D4"/>
    <w:rsid w:val="00BB2A4A"/>
    <w:rsid w:val="00BC68F7"/>
    <w:rsid w:val="00BC722F"/>
    <w:rsid w:val="00BD20C8"/>
    <w:rsid w:val="00BD2A6E"/>
    <w:rsid w:val="00BD6077"/>
    <w:rsid w:val="00BE11B6"/>
    <w:rsid w:val="00BF2C3B"/>
    <w:rsid w:val="00C124BC"/>
    <w:rsid w:val="00C1315C"/>
    <w:rsid w:val="00C13423"/>
    <w:rsid w:val="00C26546"/>
    <w:rsid w:val="00C3060E"/>
    <w:rsid w:val="00C30B0B"/>
    <w:rsid w:val="00C37EA7"/>
    <w:rsid w:val="00C6352E"/>
    <w:rsid w:val="00C6388A"/>
    <w:rsid w:val="00C766DE"/>
    <w:rsid w:val="00C91C07"/>
    <w:rsid w:val="00CA0EE9"/>
    <w:rsid w:val="00CA3915"/>
    <w:rsid w:val="00CA427D"/>
    <w:rsid w:val="00CA481B"/>
    <w:rsid w:val="00CA5083"/>
    <w:rsid w:val="00CA5E32"/>
    <w:rsid w:val="00CB288D"/>
    <w:rsid w:val="00CC0706"/>
    <w:rsid w:val="00CC0C41"/>
    <w:rsid w:val="00CC1CCA"/>
    <w:rsid w:val="00CE6C0E"/>
    <w:rsid w:val="00CF45B8"/>
    <w:rsid w:val="00D0265A"/>
    <w:rsid w:val="00D17B96"/>
    <w:rsid w:val="00D258A0"/>
    <w:rsid w:val="00D25A2E"/>
    <w:rsid w:val="00D40BF9"/>
    <w:rsid w:val="00D56DEC"/>
    <w:rsid w:val="00D77C82"/>
    <w:rsid w:val="00D8053E"/>
    <w:rsid w:val="00D8381B"/>
    <w:rsid w:val="00D9128C"/>
    <w:rsid w:val="00D93B7A"/>
    <w:rsid w:val="00DA2F59"/>
    <w:rsid w:val="00DA7C43"/>
    <w:rsid w:val="00DA7F17"/>
    <w:rsid w:val="00DC3489"/>
    <w:rsid w:val="00DC4BB1"/>
    <w:rsid w:val="00DD2835"/>
    <w:rsid w:val="00DF5225"/>
    <w:rsid w:val="00DF6144"/>
    <w:rsid w:val="00E02D54"/>
    <w:rsid w:val="00E114E8"/>
    <w:rsid w:val="00E12DCA"/>
    <w:rsid w:val="00E17BE2"/>
    <w:rsid w:val="00E24C40"/>
    <w:rsid w:val="00E26DE4"/>
    <w:rsid w:val="00E30054"/>
    <w:rsid w:val="00E34E01"/>
    <w:rsid w:val="00E4051E"/>
    <w:rsid w:val="00E41FF7"/>
    <w:rsid w:val="00E4580E"/>
    <w:rsid w:val="00E577B3"/>
    <w:rsid w:val="00E63D75"/>
    <w:rsid w:val="00E653BC"/>
    <w:rsid w:val="00E677A5"/>
    <w:rsid w:val="00E80389"/>
    <w:rsid w:val="00E8167D"/>
    <w:rsid w:val="00E90513"/>
    <w:rsid w:val="00EA00E8"/>
    <w:rsid w:val="00EA7397"/>
    <w:rsid w:val="00EB74D6"/>
    <w:rsid w:val="00EE45A0"/>
    <w:rsid w:val="00EE47B0"/>
    <w:rsid w:val="00EF063F"/>
    <w:rsid w:val="00F1172A"/>
    <w:rsid w:val="00F15CE8"/>
    <w:rsid w:val="00F15F7C"/>
    <w:rsid w:val="00F217A1"/>
    <w:rsid w:val="00F334A1"/>
    <w:rsid w:val="00F34CFA"/>
    <w:rsid w:val="00F373A0"/>
    <w:rsid w:val="00F42862"/>
    <w:rsid w:val="00F44A85"/>
    <w:rsid w:val="00F467F3"/>
    <w:rsid w:val="00F5038C"/>
    <w:rsid w:val="00F7011E"/>
    <w:rsid w:val="00F86227"/>
    <w:rsid w:val="00F94AB5"/>
    <w:rsid w:val="00FA1E36"/>
    <w:rsid w:val="00FB6718"/>
    <w:rsid w:val="00FC16B2"/>
    <w:rsid w:val="00FC216A"/>
    <w:rsid w:val="00FC3A40"/>
    <w:rsid w:val="00FD4F11"/>
    <w:rsid w:val="00FD664E"/>
    <w:rsid w:val="00FE268A"/>
    <w:rsid w:val="00FE3763"/>
    <w:rsid w:val="00FF038D"/>
    <w:rsid w:val="00FF350C"/>
    <w:rsid w:val="00FF3A9E"/>
    <w:rsid w:val="00FF62D0"/>
    <w:rsid w:val="00FF6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paragraph" w:styleId="Heading1">
    <w:name w:val="heading 1"/>
    <w:basedOn w:val="Normal"/>
    <w:next w:val="Normal"/>
    <w:link w:val="Heading1Char"/>
    <w:uiPriority w:val="9"/>
    <w:qFormat/>
    <w:rsid w:val="00CC1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
    <w:name w:val="NumPar 1"/>
    <w:basedOn w:val="Normal"/>
    <w:next w:val="Normal"/>
    <w:link w:val="NumPar1Char"/>
    <w:rsid w:val="00E17BE2"/>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Normal"/>
    <w:rsid w:val="00E17BE2"/>
    <w:pPr>
      <w:numPr>
        <w:ilvl w:val="1"/>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Normal"/>
    <w:rsid w:val="00E17BE2"/>
    <w:pPr>
      <w:numPr>
        <w:ilvl w:val="2"/>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Normal"/>
    <w:rsid w:val="00E17BE2"/>
    <w:pPr>
      <w:numPr>
        <w:ilvl w:val="3"/>
        <w:numId w:val="23"/>
      </w:numPr>
      <w:spacing w:before="120" w:after="120" w:line="240" w:lineRule="auto"/>
      <w:jc w:val="both"/>
    </w:pPr>
    <w:rPr>
      <w:rFonts w:ascii="Times New Roman" w:eastAsia="Times New Roman" w:hAnsi="Times New Roman" w:cs="Times New Roman"/>
      <w:sz w:val="24"/>
      <w:szCs w:val="20"/>
      <w:lang w:eastAsia="en-GB"/>
    </w:rPr>
  </w:style>
  <w:style w:type="character" w:customStyle="1" w:styleId="NumPar1Char">
    <w:name w:val="NumPar 1 Char"/>
    <w:link w:val="NumPar1"/>
    <w:rsid w:val="00E17BE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A12D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C1C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CCA"/>
    <w:pPr>
      <w:outlineLvl w:val="9"/>
    </w:pPr>
    <w:rPr>
      <w:lang w:val="en-US" w:eastAsia="ja-JP"/>
    </w:rPr>
  </w:style>
  <w:style w:type="paragraph" w:styleId="TOC1">
    <w:name w:val="toc 1"/>
    <w:basedOn w:val="Normal"/>
    <w:next w:val="Normal"/>
    <w:autoRedefine/>
    <w:uiPriority w:val="39"/>
    <w:unhideWhenUsed/>
    <w:rsid w:val="00CC1CCA"/>
    <w:pPr>
      <w:spacing w:after="100"/>
    </w:pPr>
  </w:style>
  <w:style w:type="character" w:customStyle="1" w:styleId="Heading2Char">
    <w:name w:val="Heading 2 Char"/>
    <w:basedOn w:val="DefaultParagraphFont"/>
    <w:link w:val="Heading2"/>
    <w:uiPriority w:val="9"/>
    <w:rsid w:val="0001223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C2C7B"/>
    <w:pPr>
      <w:spacing w:after="100"/>
      <w:ind w:left="220"/>
    </w:pPr>
  </w:style>
  <w:style w:type="character" w:customStyle="1" w:styleId="ListNumberCharChar1">
    <w:name w:val="List Number Char Char1"/>
    <w:aliases w:val="List Number Char1 Char Char1,List Number1"/>
    <w:rsid w:val="00575648"/>
    <w:rPr>
      <w:sz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s>
</file>

<file path=word/webSettings.xml><?xml version="1.0" encoding="utf-8"?>
<w:webSettings xmlns:r="http://schemas.openxmlformats.org/officeDocument/2006/relationships" xmlns:w="http://schemas.openxmlformats.org/wordprocessingml/2006/main">
  <w:divs>
    <w:div w:id="3941316">
      <w:bodyDiv w:val="1"/>
      <w:marLeft w:val="0"/>
      <w:marRight w:val="0"/>
      <w:marTop w:val="0"/>
      <w:marBottom w:val="0"/>
      <w:divBdr>
        <w:top w:val="none" w:sz="0" w:space="0" w:color="auto"/>
        <w:left w:val="none" w:sz="0" w:space="0" w:color="auto"/>
        <w:bottom w:val="none" w:sz="0" w:space="0" w:color="auto"/>
        <w:right w:val="none" w:sz="0" w:space="0" w:color="auto"/>
      </w:divBdr>
      <w:divsChild>
        <w:div w:id="848107975">
          <w:marLeft w:val="965"/>
          <w:marRight w:val="0"/>
          <w:marTop w:val="115"/>
          <w:marBottom w:val="0"/>
          <w:divBdr>
            <w:top w:val="none" w:sz="0" w:space="0" w:color="auto"/>
            <w:left w:val="none" w:sz="0" w:space="0" w:color="auto"/>
            <w:bottom w:val="none" w:sz="0" w:space="0" w:color="auto"/>
            <w:right w:val="none" w:sz="0" w:space="0" w:color="auto"/>
          </w:divBdr>
        </w:div>
        <w:div w:id="1988704073">
          <w:marLeft w:val="965"/>
          <w:marRight w:val="0"/>
          <w:marTop w:val="115"/>
          <w:marBottom w:val="0"/>
          <w:divBdr>
            <w:top w:val="none" w:sz="0" w:space="0" w:color="auto"/>
            <w:left w:val="none" w:sz="0" w:space="0" w:color="auto"/>
            <w:bottom w:val="none" w:sz="0" w:space="0" w:color="auto"/>
            <w:right w:val="none" w:sz="0" w:space="0" w:color="auto"/>
          </w:divBdr>
        </w:div>
        <w:div w:id="2123180363">
          <w:marLeft w:val="965"/>
          <w:marRight w:val="0"/>
          <w:marTop w:val="115"/>
          <w:marBottom w:val="0"/>
          <w:divBdr>
            <w:top w:val="none" w:sz="0" w:space="0" w:color="auto"/>
            <w:left w:val="none" w:sz="0" w:space="0" w:color="auto"/>
            <w:bottom w:val="none" w:sz="0" w:space="0" w:color="auto"/>
            <w:right w:val="none" w:sz="0" w:space="0" w:color="auto"/>
          </w:divBdr>
        </w:div>
        <w:div w:id="188108846">
          <w:marLeft w:val="965"/>
          <w:marRight w:val="0"/>
          <w:marTop w:val="115"/>
          <w:marBottom w:val="0"/>
          <w:divBdr>
            <w:top w:val="none" w:sz="0" w:space="0" w:color="auto"/>
            <w:left w:val="none" w:sz="0" w:space="0" w:color="auto"/>
            <w:bottom w:val="none" w:sz="0" w:space="0" w:color="auto"/>
            <w:right w:val="none" w:sz="0" w:space="0" w:color="auto"/>
          </w:divBdr>
        </w:div>
        <w:div w:id="1287541806">
          <w:marLeft w:val="965"/>
          <w:marRight w:val="0"/>
          <w:marTop w:val="115"/>
          <w:marBottom w:val="0"/>
          <w:divBdr>
            <w:top w:val="none" w:sz="0" w:space="0" w:color="auto"/>
            <w:left w:val="none" w:sz="0" w:space="0" w:color="auto"/>
            <w:bottom w:val="none" w:sz="0" w:space="0" w:color="auto"/>
            <w:right w:val="none" w:sz="0" w:space="0" w:color="auto"/>
          </w:divBdr>
        </w:div>
        <w:div w:id="831063514">
          <w:marLeft w:val="965"/>
          <w:marRight w:val="0"/>
          <w:marTop w:val="115"/>
          <w:marBottom w:val="0"/>
          <w:divBdr>
            <w:top w:val="none" w:sz="0" w:space="0" w:color="auto"/>
            <w:left w:val="none" w:sz="0" w:space="0" w:color="auto"/>
            <w:bottom w:val="none" w:sz="0" w:space="0" w:color="auto"/>
            <w:right w:val="none" w:sz="0" w:space="0" w:color="auto"/>
          </w:divBdr>
        </w:div>
      </w:divsChild>
    </w:div>
    <w:div w:id="7416878">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10836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F5916-8868-4C17-A6B1-4FC2F7EABF6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6DCFC4EF-9FE6-469E-BD1B-D8C2894BA1D2}">
      <dgm:prSet phldrT="[Text]"/>
      <dgm:spPr>
        <a:solidFill>
          <a:schemeClr val="accent6">
            <a:lumMod val="60000"/>
            <a:lumOff val="40000"/>
          </a:schemeClr>
        </a:solidFill>
      </dgm:spPr>
      <dgm:t>
        <a:bodyPr/>
        <a:lstStyle/>
        <a:p>
          <a:r>
            <a:rPr lang="en-US"/>
            <a:t>High CBC impact and low maturity</a:t>
          </a:r>
        </a:p>
      </dgm:t>
    </dgm:pt>
    <dgm:pt modelId="{9F9297D9-50E0-441C-9650-8C661A88E972}" type="parTrans" cxnId="{D0BC1832-3285-44B7-A1B6-D9890EBC7FAB}">
      <dgm:prSet/>
      <dgm:spPr/>
      <dgm:t>
        <a:bodyPr/>
        <a:lstStyle/>
        <a:p>
          <a:endParaRPr lang="en-US"/>
        </a:p>
      </dgm:t>
    </dgm:pt>
    <dgm:pt modelId="{DADC0655-B05D-41C3-B1C4-3480C8A7284B}" type="sibTrans" cxnId="{D0BC1832-3285-44B7-A1B6-D9890EBC7FAB}">
      <dgm:prSet/>
      <dgm:spPr/>
      <dgm:t>
        <a:bodyPr/>
        <a:lstStyle/>
        <a:p>
          <a:endParaRPr lang="en-US"/>
        </a:p>
      </dgm:t>
    </dgm:pt>
    <dgm:pt modelId="{75ADDB7E-C688-4547-B394-574060B91EB6}">
      <dgm:prSet phldrT="[Text]"/>
      <dgm:spPr>
        <a:solidFill>
          <a:srgbClr val="92D050"/>
        </a:solidFill>
      </dgm:spPr>
      <dgm:t>
        <a:bodyPr/>
        <a:lstStyle/>
        <a:p>
          <a:r>
            <a:rPr lang="en-US"/>
            <a:t>High CBC impact &amp; high maturity</a:t>
          </a:r>
        </a:p>
      </dgm:t>
    </dgm:pt>
    <dgm:pt modelId="{8B1C011C-AB0D-43A2-8463-68B8E4378BF8}" type="parTrans" cxnId="{421F1DE9-5F45-4C4E-9E3D-2C2F985ED254}">
      <dgm:prSet/>
      <dgm:spPr/>
      <dgm:t>
        <a:bodyPr/>
        <a:lstStyle/>
        <a:p>
          <a:endParaRPr lang="en-US"/>
        </a:p>
      </dgm:t>
    </dgm:pt>
    <dgm:pt modelId="{9C356816-77A0-4825-9E06-A0D506827FD2}" type="sibTrans" cxnId="{421F1DE9-5F45-4C4E-9E3D-2C2F985ED254}">
      <dgm:prSet/>
      <dgm:spPr/>
      <dgm:t>
        <a:bodyPr/>
        <a:lstStyle/>
        <a:p>
          <a:endParaRPr lang="en-US"/>
        </a:p>
      </dgm:t>
    </dgm:pt>
    <dgm:pt modelId="{259BD370-B68B-40D3-AE83-75E25FB848DA}">
      <dgm:prSet phldrT="[Text]"/>
      <dgm:spPr>
        <a:solidFill>
          <a:srgbClr val="FF0000"/>
        </a:solidFill>
      </dgm:spPr>
      <dgm:t>
        <a:bodyPr/>
        <a:lstStyle/>
        <a:p>
          <a:r>
            <a:rPr lang="en-US"/>
            <a:t>Low CBC impact and low maturity</a:t>
          </a:r>
        </a:p>
      </dgm:t>
    </dgm:pt>
    <dgm:pt modelId="{B12BB2B1-3052-4A26-8149-231BCCEB2F6A}" type="parTrans" cxnId="{2247AB56-512D-4089-92C3-978A472BA11B}">
      <dgm:prSet/>
      <dgm:spPr/>
      <dgm:t>
        <a:bodyPr/>
        <a:lstStyle/>
        <a:p>
          <a:endParaRPr lang="en-US"/>
        </a:p>
      </dgm:t>
    </dgm:pt>
    <dgm:pt modelId="{A45BEBBC-1F88-4807-AC73-CDB4EC120C28}" type="sibTrans" cxnId="{2247AB56-512D-4089-92C3-978A472BA11B}">
      <dgm:prSet/>
      <dgm:spPr/>
      <dgm:t>
        <a:bodyPr/>
        <a:lstStyle/>
        <a:p>
          <a:endParaRPr lang="en-US"/>
        </a:p>
      </dgm:t>
    </dgm:pt>
    <dgm:pt modelId="{B9AE5153-7E55-4E9E-86C3-D24C227B6DE7}">
      <dgm:prSet phldrT="[Text]"/>
      <dgm:spPr>
        <a:solidFill>
          <a:srgbClr val="FFC000"/>
        </a:solidFill>
      </dgm:spPr>
      <dgm:t>
        <a:bodyPr/>
        <a:lstStyle/>
        <a:p>
          <a:r>
            <a:rPr lang="en-US"/>
            <a:t>Low CBC impact and high maturity</a:t>
          </a:r>
        </a:p>
      </dgm:t>
    </dgm:pt>
    <dgm:pt modelId="{DBC8AACF-E90D-4443-B68B-7BC9790FD758}" type="parTrans" cxnId="{BB39F804-2C8C-4D21-8C0F-0DE0D0D87566}">
      <dgm:prSet/>
      <dgm:spPr/>
      <dgm:t>
        <a:bodyPr/>
        <a:lstStyle/>
        <a:p>
          <a:endParaRPr lang="en-US"/>
        </a:p>
      </dgm:t>
    </dgm:pt>
    <dgm:pt modelId="{A23ADF75-1367-4ECB-9E5A-B272D28BC179}" type="sibTrans" cxnId="{BB39F804-2C8C-4D21-8C0F-0DE0D0D87566}">
      <dgm:prSet/>
      <dgm:spPr/>
      <dgm:t>
        <a:bodyPr/>
        <a:lstStyle/>
        <a:p>
          <a:endParaRPr lang="en-US"/>
        </a:p>
      </dgm:t>
    </dgm:pt>
    <dgm:pt modelId="{A5493B4F-C88B-4A4B-9559-36237406CF16}">
      <dgm:prSet/>
      <dgm:spPr/>
      <dgm:t>
        <a:bodyPr/>
        <a:lstStyle/>
        <a:p>
          <a:endParaRPr lang="en-US"/>
        </a:p>
      </dgm:t>
    </dgm:pt>
    <dgm:pt modelId="{2FC71BAD-392E-4107-8780-213096B1E527}" type="parTrans" cxnId="{366E75F9-E778-4FC2-B45E-BD8BAB98F03C}">
      <dgm:prSet/>
      <dgm:spPr/>
      <dgm:t>
        <a:bodyPr/>
        <a:lstStyle/>
        <a:p>
          <a:endParaRPr lang="en-US"/>
        </a:p>
      </dgm:t>
    </dgm:pt>
    <dgm:pt modelId="{9F1D4B19-E1D0-4151-87B1-D0EB2BA15241}" type="sibTrans" cxnId="{366E75F9-E778-4FC2-B45E-BD8BAB98F03C}">
      <dgm:prSet/>
      <dgm:spPr/>
      <dgm:t>
        <a:bodyPr/>
        <a:lstStyle/>
        <a:p>
          <a:endParaRPr lang="en-US"/>
        </a:p>
      </dgm:t>
    </dgm:pt>
    <dgm:pt modelId="{7A71F0F9-4D99-40C0-9B74-E7CE3CE1C9D7}" type="pres">
      <dgm:prSet presAssocID="{FFCF5916-8868-4C17-A6B1-4FC2F7EABF60}" presName="matrix" presStyleCnt="0">
        <dgm:presLayoutVars>
          <dgm:chMax val="1"/>
          <dgm:dir/>
          <dgm:resizeHandles val="exact"/>
        </dgm:presLayoutVars>
      </dgm:prSet>
      <dgm:spPr/>
      <dgm:t>
        <a:bodyPr/>
        <a:lstStyle/>
        <a:p>
          <a:endParaRPr lang="en-US"/>
        </a:p>
      </dgm:t>
    </dgm:pt>
    <dgm:pt modelId="{438A1819-515A-4D59-8029-CEF4939E3C8E}" type="pres">
      <dgm:prSet presAssocID="{FFCF5916-8868-4C17-A6B1-4FC2F7EABF60}" presName="axisShape" presStyleLbl="bgShp" presStyleIdx="0" presStyleCnt="1"/>
      <dgm:spPr/>
      <dgm:t>
        <a:bodyPr/>
        <a:lstStyle/>
        <a:p>
          <a:endParaRPr lang="en-US"/>
        </a:p>
      </dgm:t>
    </dgm:pt>
    <dgm:pt modelId="{5440C592-FC96-46A1-8D2C-DCDD4738DF30}" type="pres">
      <dgm:prSet presAssocID="{FFCF5916-8868-4C17-A6B1-4FC2F7EABF60}" presName="rect1" presStyleLbl="node1" presStyleIdx="0" presStyleCnt="4">
        <dgm:presLayoutVars>
          <dgm:chMax val="0"/>
          <dgm:chPref val="0"/>
          <dgm:bulletEnabled val="1"/>
        </dgm:presLayoutVars>
      </dgm:prSet>
      <dgm:spPr/>
      <dgm:t>
        <a:bodyPr/>
        <a:lstStyle/>
        <a:p>
          <a:endParaRPr lang="en-US"/>
        </a:p>
      </dgm:t>
    </dgm:pt>
    <dgm:pt modelId="{8F09F334-8E0C-45CE-80CA-67D92FCB6A74}" type="pres">
      <dgm:prSet presAssocID="{FFCF5916-8868-4C17-A6B1-4FC2F7EABF60}" presName="rect2" presStyleLbl="node1" presStyleIdx="1" presStyleCnt="4">
        <dgm:presLayoutVars>
          <dgm:chMax val="0"/>
          <dgm:chPref val="0"/>
          <dgm:bulletEnabled val="1"/>
        </dgm:presLayoutVars>
      </dgm:prSet>
      <dgm:spPr/>
      <dgm:t>
        <a:bodyPr/>
        <a:lstStyle/>
        <a:p>
          <a:endParaRPr lang="en-US"/>
        </a:p>
      </dgm:t>
    </dgm:pt>
    <dgm:pt modelId="{0763107D-BCEC-4BD9-807B-B3CB244778EC}" type="pres">
      <dgm:prSet presAssocID="{FFCF5916-8868-4C17-A6B1-4FC2F7EABF60}" presName="rect3" presStyleLbl="node1" presStyleIdx="2" presStyleCnt="4">
        <dgm:presLayoutVars>
          <dgm:chMax val="0"/>
          <dgm:chPref val="0"/>
          <dgm:bulletEnabled val="1"/>
        </dgm:presLayoutVars>
      </dgm:prSet>
      <dgm:spPr/>
      <dgm:t>
        <a:bodyPr/>
        <a:lstStyle/>
        <a:p>
          <a:endParaRPr lang="en-US"/>
        </a:p>
      </dgm:t>
    </dgm:pt>
    <dgm:pt modelId="{74607474-B2CA-42BB-9C37-609CFDA94FA2}" type="pres">
      <dgm:prSet presAssocID="{FFCF5916-8868-4C17-A6B1-4FC2F7EABF60}" presName="rect4" presStyleLbl="node1" presStyleIdx="3" presStyleCnt="4">
        <dgm:presLayoutVars>
          <dgm:chMax val="0"/>
          <dgm:chPref val="0"/>
          <dgm:bulletEnabled val="1"/>
        </dgm:presLayoutVars>
      </dgm:prSet>
      <dgm:spPr/>
      <dgm:t>
        <a:bodyPr/>
        <a:lstStyle/>
        <a:p>
          <a:endParaRPr lang="en-US"/>
        </a:p>
      </dgm:t>
    </dgm:pt>
  </dgm:ptLst>
  <dgm:cxnLst>
    <dgm:cxn modelId="{D0BC1832-3285-44B7-A1B6-D9890EBC7FAB}" srcId="{FFCF5916-8868-4C17-A6B1-4FC2F7EABF60}" destId="{6DCFC4EF-9FE6-469E-BD1B-D8C2894BA1D2}" srcOrd="0" destOrd="0" parTransId="{9F9297D9-50E0-441C-9650-8C661A88E972}" sibTransId="{DADC0655-B05D-41C3-B1C4-3480C8A7284B}"/>
    <dgm:cxn modelId="{F29523A5-26F3-4F83-94C2-863A49F199DA}" type="presOf" srcId="{75ADDB7E-C688-4547-B394-574060B91EB6}" destId="{8F09F334-8E0C-45CE-80CA-67D92FCB6A74}" srcOrd="0" destOrd="0" presId="urn:microsoft.com/office/officeart/2005/8/layout/matrix2"/>
    <dgm:cxn modelId="{F81483E8-3B5B-43C0-8FA5-E68116B10E15}" type="presOf" srcId="{6DCFC4EF-9FE6-469E-BD1B-D8C2894BA1D2}" destId="{5440C592-FC96-46A1-8D2C-DCDD4738DF30}" srcOrd="0" destOrd="0" presId="urn:microsoft.com/office/officeart/2005/8/layout/matrix2"/>
    <dgm:cxn modelId="{C4BD01B7-8189-4D6E-9C9E-B44BED65B5B7}" type="presOf" srcId="{259BD370-B68B-40D3-AE83-75E25FB848DA}" destId="{0763107D-BCEC-4BD9-807B-B3CB244778EC}" srcOrd="0" destOrd="0" presId="urn:microsoft.com/office/officeart/2005/8/layout/matrix2"/>
    <dgm:cxn modelId="{905BE3FC-3420-488D-96E0-9EE44BF22C88}" type="presOf" srcId="{B9AE5153-7E55-4E9E-86C3-D24C227B6DE7}" destId="{74607474-B2CA-42BB-9C37-609CFDA94FA2}" srcOrd="0" destOrd="0" presId="urn:microsoft.com/office/officeart/2005/8/layout/matrix2"/>
    <dgm:cxn modelId="{DD3C0EF4-828F-410E-A9EB-28556D9488CE}" type="presOf" srcId="{FFCF5916-8868-4C17-A6B1-4FC2F7EABF60}" destId="{7A71F0F9-4D99-40C0-9B74-E7CE3CE1C9D7}" srcOrd="0" destOrd="0" presId="urn:microsoft.com/office/officeart/2005/8/layout/matrix2"/>
    <dgm:cxn modelId="{BB39F804-2C8C-4D21-8C0F-0DE0D0D87566}" srcId="{FFCF5916-8868-4C17-A6B1-4FC2F7EABF60}" destId="{B9AE5153-7E55-4E9E-86C3-D24C227B6DE7}" srcOrd="3" destOrd="0" parTransId="{DBC8AACF-E90D-4443-B68B-7BC9790FD758}" sibTransId="{A23ADF75-1367-4ECB-9E5A-B272D28BC179}"/>
    <dgm:cxn modelId="{421F1DE9-5F45-4C4E-9E3D-2C2F985ED254}" srcId="{FFCF5916-8868-4C17-A6B1-4FC2F7EABF60}" destId="{75ADDB7E-C688-4547-B394-574060B91EB6}" srcOrd="1" destOrd="0" parTransId="{8B1C011C-AB0D-43A2-8463-68B8E4378BF8}" sibTransId="{9C356816-77A0-4825-9E06-A0D506827FD2}"/>
    <dgm:cxn modelId="{366E75F9-E778-4FC2-B45E-BD8BAB98F03C}" srcId="{FFCF5916-8868-4C17-A6B1-4FC2F7EABF60}" destId="{A5493B4F-C88B-4A4B-9559-36237406CF16}" srcOrd="4" destOrd="0" parTransId="{2FC71BAD-392E-4107-8780-213096B1E527}" sibTransId="{9F1D4B19-E1D0-4151-87B1-D0EB2BA15241}"/>
    <dgm:cxn modelId="{2247AB56-512D-4089-92C3-978A472BA11B}" srcId="{FFCF5916-8868-4C17-A6B1-4FC2F7EABF60}" destId="{259BD370-B68B-40D3-AE83-75E25FB848DA}" srcOrd="2" destOrd="0" parTransId="{B12BB2B1-3052-4A26-8149-231BCCEB2F6A}" sibTransId="{A45BEBBC-1F88-4807-AC73-CDB4EC120C28}"/>
    <dgm:cxn modelId="{B5D29968-B20A-48A3-A061-3943406BBC2D}" type="presParOf" srcId="{7A71F0F9-4D99-40C0-9B74-E7CE3CE1C9D7}" destId="{438A1819-515A-4D59-8029-CEF4939E3C8E}" srcOrd="0" destOrd="0" presId="urn:microsoft.com/office/officeart/2005/8/layout/matrix2"/>
    <dgm:cxn modelId="{68BFCB0D-0681-4642-81AE-49A136528455}" type="presParOf" srcId="{7A71F0F9-4D99-40C0-9B74-E7CE3CE1C9D7}" destId="{5440C592-FC96-46A1-8D2C-DCDD4738DF30}" srcOrd="1" destOrd="0" presId="urn:microsoft.com/office/officeart/2005/8/layout/matrix2"/>
    <dgm:cxn modelId="{C4ADD810-D170-4147-9772-F8F34ED43E38}" type="presParOf" srcId="{7A71F0F9-4D99-40C0-9B74-E7CE3CE1C9D7}" destId="{8F09F334-8E0C-45CE-80CA-67D92FCB6A74}" srcOrd="2" destOrd="0" presId="urn:microsoft.com/office/officeart/2005/8/layout/matrix2"/>
    <dgm:cxn modelId="{0FB4E546-12C9-4197-A07E-C3A484A1167B}" type="presParOf" srcId="{7A71F0F9-4D99-40C0-9B74-E7CE3CE1C9D7}" destId="{0763107D-BCEC-4BD9-807B-B3CB244778EC}" srcOrd="3" destOrd="0" presId="urn:microsoft.com/office/officeart/2005/8/layout/matrix2"/>
    <dgm:cxn modelId="{DEEA2F3F-7E53-4BCA-BB1F-D6BD6A5E011A}" type="presParOf" srcId="{7A71F0F9-4D99-40C0-9B74-E7CE3CE1C9D7}" destId="{74607474-B2CA-42BB-9C37-609CFDA94FA2}" srcOrd="4" destOrd="0" presId="urn:microsoft.com/office/officeart/2005/8/layout/matrix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CF5916-8868-4C17-A6B1-4FC2F7EABF6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6DCFC4EF-9FE6-469E-BD1B-D8C2894BA1D2}">
      <dgm:prSet phldrT="[Text]"/>
      <dgm:spPr>
        <a:solidFill>
          <a:schemeClr val="accent6">
            <a:lumMod val="60000"/>
            <a:lumOff val="40000"/>
          </a:schemeClr>
        </a:solidFill>
      </dgm:spPr>
      <dgm:t>
        <a:bodyPr/>
        <a:lstStyle/>
        <a:p>
          <a:r>
            <a:rPr lang="en-US"/>
            <a:t>Low complexity and low maturity</a:t>
          </a:r>
        </a:p>
      </dgm:t>
    </dgm:pt>
    <dgm:pt modelId="{9F9297D9-50E0-441C-9650-8C661A88E972}" type="parTrans" cxnId="{D0BC1832-3285-44B7-A1B6-D9890EBC7FAB}">
      <dgm:prSet/>
      <dgm:spPr/>
      <dgm:t>
        <a:bodyPr/>
        <a:lstStyle/>
        <a:p>
          <a:endParaRPr lang="en-US"/>
        </a:p>
      </dgm:t>
    </dgm:pt>
    <dgm:pt modelId="{DADC0655-B05D-41C3-B1C4-3480C8A7284B}" type="sibTrans" cxnId="{D0BC1832-3285-44B7-A1B6-D9890EBC7FAB}">
      <dgm:prSet/>
      <dgm:spPr/>
      <dgm:t>
        <a:bodyPr/>
        <a:lstStyle/>
        <a:p>
          <a:endParaRPr lang="en-US"/>
        </a:p>
      </dgm:t>
    </dgm:pt>
    <dgm:pt modelId="{75ADDB7E-C688-4547-B394-574060B91EB6}">
      <dgm:prSet phldrT="[Text]"/>
      <dgm:spPr>
        <a:solidFill>
          <a:srgbClr val="92D050"/>
        </a:solidFill>
      </dgm:spPr>
      <dgm:t>
        <a:bodyPr/>
        <a:lstStyle/>
        <a:p>
          <a:r>
            <a:rPr lang="en-US"/>
            <a:t>Low complexity &amp; high maturity</a:t>
          </a:r>
        </a:p>
      </dgm:t>
    </dgm:pt>
    <dgm:pt modelId="{8B1C011C-AB0D-43A2-8463-68B8E4378BF8}" type="parTrans" cxnId="{421F1DE9-5F45-4C4E-9E3D-2C2F985ED254}">
      <dgm:prSet/>
      <dgm:spPr/>
      <dgm:t>
        <a:bodyPr/>
        <a:lstStyle/>
        <a:p>
          <a:endParaRPr lang="en-US"/>
        </a:p>
      </dgm:t>
    </dgm:pt>
    <dgm:pt modelId="{9C356816-77A0-4825-9E06-A0D506827FD2}" type="sibTrans" cxnId="{421F1DE9-5F45-4C4E-9E3D-2C2F985ED254}">
      <dgm:prSet/>
      <dgm:spPr/>
      <dgm:t>
        <a:bodyPr/>
        <a:lstStyle/>
        <a:p>
          <a:endParaRPr lang="en-US"/>
        </a:p>
      </dgm:t>
    </dgm:pt>
    <dgm:pt modelId="{259BD370-B68B-40D3-AE83-75E25FB848DA}">
      <dgm:prSet phldrT="[Text]"/>
      <dgm:spPr>
        <a:solidFill>
          <a:srgbClr val="FF0000"/>
        </a:solidFill>
      </dgm:spPr>
      <dgm:t>
        <a:bodyPr/>
        <a:lstStyle/>
        <a:p>
          <a:r>
            <a:rPr lang="en-US"/>
            <a:t>High complexity and low maturity</a:t>
          </a:r>
        </a:p>
      </dgm:t>
    </dgm:pt>
    <dgm:pt modelId="{B12BB2B1-3052-4A26-8149-231BCCEB2F6A}" type="parTrans" cxnId="{2247AB56-512D-4089-92C3-978A472BA11B}">
      <dgm:prSet/>
      <dgm:spPr/>
      <dgm:t>
        <a:bodyPr/>
        <a:lstStyle/>
        <a:p>
          <a:endParaRPr lang="en-US"/>
        </a:p>
      </dgm:t>
    </dgm:pt>
    <dgm:pt modelId="{A45BEBBC-1F88-4807-AC73-CDB4EC120C28}" type="sibTrans" cxnId="{2247AB56-512D-4089-92C3-978A472BA11B}">
      <dgm:prSet/>
      <dgm:spPr/>
      <dgm:t>
        <a:bodyPr/>
        <a:lstStyle/>
        <a:p>
          <a:endParaRPr lang="en-US"/>
        </a:p>
      </dgm:t>
    </dgm:pt>
    <dgm:pt modelId="{B9AE5153-7E55-4E9E-86C3-D24C227B6DE7}">
      <dgm:prSet phldrT="[Text]"/>
      <dgm:spPr>
        <a:solidFill>
          <a:srgbClr val="FFC000"/>
        </a:solidFill>
      </dgm:spPr>
      <dgm:t>
        <a:bodyPr/>
        <a:lstStyle/>
        <a:p>
          <a:r>
            <a:rPr lang="en-US"/>
            <a:t>High complexity and high maturity</a:t>
          </a:r>
        </a:p>
      </dgm:t>
    </dgm:pt>
    <dgm:pt modelId="{DBC8AACF-E90D-4443-B68B-7BC9790FD758}" type="parTrans" cxnId="{BB39F804-2C8C-4D21-8C0F-0DE0D0D87566}">
      <dgm:prSet/>
      <dgm:spPr/>
      <dgm:t>
        <a:bodyPr/>
        <a:lstStyle/>
        <a:p>
          <a:endParaRPr lang="en-US"/>
        </a:p>
      </dgm:t>
    </dgm:pt>
    <dgm:pt modelId="{A23ADF75-1367-4ECB-9E5A-B272D28BC179}" type="sibTrans" cxnId="{BB39F804-2C8C-4D21-8C0F-0DE0D0D87566}">
      <dgm:prSet/>
      <dgm:spPr/>
      <dgm:t>
        <a:bodyPr/>
        <a:lstStyle/>
        <a:p>
          <a:endParaRPr lang="en-US"/>
        </a:p>
      </dgm:t>
    </dgm:pt>
    <dgm:pt modelId="{A5493B4F-C88B-4A4B-9559-36237406CF16}">
      <dgm:prSet/>
      <dgm:spPr/>
      <dgm:t>
        <a:bodyPr/>
        <a:lstStyle/>
        <a:p>
          <a:endParaRPr lang="en-US"/>
        </a:p>
      </dgm:t>
    </dgm:pt>
    <dgm:pt modelId="{2FC71BAD-392E-4107-8780-213096B1E527}" type="parTrans" cxnId="{366E75F9-E778-4FC2-B45E-BD8BAB98F03C}">
      <dgm:prSet/>
      <dgm:spPr/>
      <dgm:t>
        <a:bodyPr/>
        <a:lstStyle/>
        <a:p>
          <a:endParaRPr lang="en-US"/>
        </a:p>
      </dgm:t>
    </dgm:pt>
    <dgm:pt modelId="{9F1D4B19-E1D0-4151-87B1-D0EB2BA15241}" type="sibTrans" cxnId="{366E75F9-E778-4FC2-B45E-BD8BAB98F03C}">
      <dgm:prSet/>
      <dgm:spPr/>
      <dgm:t>
        <a:bodyPr/>
        <a:lstStyle/>
        <a:p>
          <a:endParaRPr lang="en-US"/>
        </a:p>
      </dgm:t>
    </dgm:pt>
    <dgm:pt modelId="{7A71F0F9-4D99-40C0-9B74-E7CE3CE1C9D7}" type="pres">
      <dgm:prSet presAssocID="{FFCF5916-8868-4C17-A6B1-4FC2F7EABF60}" presName="matrix" presStyleCnt="0">
        <dgm:presLayoutVars>
          <dgm:chMax val="1"/>
          <dgm:dir/>
          <dgm:resizeHandles val="exact"/>
        </dgm:presLayoutVars>
      </dgm:prSet>
      <dgm:spPr/>
      <dgm:t>
        <a:bodyPr/>
        <a:lstStyle/>
        <a:p>
          <a:endParaRPr lang="en-US"/>
        </a:p>
      </dgm:t>
    </dgm:pt>
    <dgm:pt modelId="{438A1819-515A-4D59-8029-CEF4939E3C8E}" type="pres">
      <dgm:prSet presAssocID="{FFCF5916-8868-4C17-A6B1-4FC2F7EABF60}" presName="axisShape" presStyleLbl="bgShp" presStyleIdx="0" presStyleCnt="1"/>
      <dgm:spPr/>
      <dgm:t>
        <a:bodyPr/>
        <a:lstStyle/>
        <a:p>
          <a:endParaRPr lang="en-US"/>
        </a:p>
      </dgm:t>
    </dgm:pt>
    <dgm:pt modelId="{5440C592-FC96-46A1-8D2C-DCDD4738DF30}" type="pres">
      <dgm:prSet presAssocID="{FFCF5916-8868-4C17-A6B1-4FC2F7EABF60}" presName="rect1" presStyleLbl="node1" presStyleIdx="0" presStyleCnt="4">
        <dgm:presLayoutVars>
          <dgm:chMax val="0"/>
          <dgm:chPref val="0"/>
          <dgm:bulletEnabled val="1"/>
        </dgm:presLayoutVars>
      </dgm:prSet>
      <dgm:spPr/>
      <dgm:t>
        <a:bodyPr/>
        <a:lstStyle/>
        <a:p>
          <a:endParaRPr lang="en-US"/>
        </a:p>
      </dgm:t>
    </dgm:pt>
    <dgm:pt modelId="{8F09F334-8E0C-45CE-80CA-67D92FCB6A74}" type="pres">
      <dgm:prSet presAssocID="{FFCF5916-8868-4C17-A6B1-4FC2F7EABF60}" presName="rect2" presStyleLbl="node1" presStyleIdx="1" presStyleCnt="4">
        <dgm:presLayoutVars>
          <dgm:chMax val="0"/>
          <dgm:chPref val="0"/>
          <dgm:bulletEnabled val="1"/>
        </dgm:presLayoutVars>
      </dgm:prSet>
      <dgm:spPr/>
      <dgm:t>
        <a:bodyPr/>
        <a:lstStyle/>
        <a:p>
          <a:endParaRPr lang="en-US"/>
        </a:p>
      </dgm:t>
    </dgm:pt>
    <dgm:pt modelId="{0763107D-BCEC-4BD9-807B-B3CB244778EC}" type="pres">
      <dgm:prSet presAssocID="{FFCF5916-8868-4C17-A6B1-4FC2F7EABF60}" presName="rect3" presStyleLbl="node1" presStyleIdx="2" presStyleCnt="4">
        <dgm:presLayoutVars>
          <dgm:chMax val="0"/>
          <dgm:chPref val="0"/>
          <dgm:bulletEnabled val="1"/>
        </dgm:presLayoutVars>
      </dgm:prSet>
      <dgm:spPr/>
      <dgm:t>
        <a:bodyPr/>
        <a:lstStyle/>
        <a:p>
          <a:endParaRPr lang="en-US"/>
        </a:p>
      </dgm:t>
    </dgm:pt>
    <dgm:pt modelId="{74607474-B2CA-42BB-9C37-609CFDA94FA2}" type="pres">
      <dgm:prSet presAssocID="{FFCF5916-8868-4C17-A6B1-4FC2F7EABF60}" presName="rect4" presStyleLbl="node1" presStyleIdx="3" presStyleCnt="4">
        <dgm:presLayoutVars>
          <dgm:chMax val="0"/>
          <dgm:chPref val="0"/>
          <dgm:bulletEnabled val="1"/>
        </dgm:presLayoutVars>
      </dgm:prSet>
      <dgm:spPr/>
      <dgm:t>
        <a:bodyPr/>
        <a:lstStyle/>
        <a:p>
          <a:endParaRPr lang="en-US"/>
        </a:p>
      </dgm:t>
    </dgm:pt>
  </dgm:ptLst>
  <dgm:cxnLst>
    <dgm:cxn modelId="{DF7A809C-7B13-47EA-84A4-81453D16DFB4}" type="presOf" srcId="{259BD370-B68B-40D3-AE83-75E25FB848DA}" destId="{0763107D-BCEC-4BD9-807B-B3CB244778EC}" srcOrd="0" destOrd="0" presId="urn:microsoft.com/office/officeart/2005/8/layout/matrix2"/>
    <dgm:cxn modelId="{D0BC1832-3285-44B7-A1B6-D9890EBC7FAB}" srcId="{FFCF5916-8868-4C17-A6B1-4FC2F7EABF60}" destId="{6DCFC4EF-9FE6-469E-BD1B-D8C2894BA1D2}" srcOrd="0" destOrd="0" parTransId="{9F9297D9-50E0-441C-9650-8C661A88E972}" sibTransId="{DADC0655-B05D-41C3-B1C4-3480C8A7284B}"/>
    <dgm:cxn modelId="{BC2EA8F5-F17C-444A-A5EC-85D0431B4FC4}" type="presOf" srcId="{6DCFC4EF-9FE6-469E-BD1B-D8C2894BA1D2}" destId="{5440C592-FC96-46A1-8D2C-DCDD4738DF30}" srcOrd="0" destOrd="0" presId="urn:microsoft.com/office/officeart/2005/8/layout/matrix2"/>
    <dgm:cxn modelId="{B6C32DF2-C790-40C7-9039-2BF4A18F8EA2}" type="presOf" srcId="{B9AE5153-7E55-4E9E-86C3-D24C227B6DE7}" destId="{74607474-B2CA-42BB-9C37-609CFDA94FA2}" srcOrd="0" destOrd="0" presId="urn:microsoft.com/office/officeart/2005/8/layout/matrix2"/>
    <dgm:cxn modelId="{BB39F804-2C8C-4D21-8C0F-0DE0D0D87566}" srcId="{FFCF5916-8868-4C17-A6B1-4FC2F7EABF60}" destId="{B9AE5153-7E55-4E9E-86C3-D24C227B6DE7}" srcOrd="3" destOrd="0" parTransId="{DBC8AACF-E90D-4443-B68B-7BC9790FD758}" sibTransId="{A23ADF75-1367-4ECB-9E5A-B272D28BC179}"/>
    <dgm:cxn modelId="{9C5CBD81-97A3-498E-9DA0-C565FBA6C58B}" type="presOf" srcId="{FFCF5916-8868-4C17-A6B1-4FC2F7EABF60}" destId="{7A71F0F9-4D99-40C0-9B74-E7CE3CE1C9D7}" srcOrd="0" destOrd="0" presId="urn:microsoft.com/office/officeart/2005/8/layout/matrix2"/>
    <dgm:cxn modelId="{421F1DE9-5F45-4C4E-9E3D-2C2F985ED254}" srcId="{FFCF5916-8868-4C17-A6B1-4FC2F7EABF60}" destId="{75ADDB7E-C688-4547-B394-574060B91EB6}" srcOrd="1" destOrd="0" parTransId="{8B1C011C-AB0D-43A2-8463-68B8E4378BF8}" sibTransId="{9C356816-77A0-4825-9E06-A0D506827FD2}"/>
    <dgm:cxn modelId="{366E75F9-E778-4FC2-B45E-BD8BAB98F03C}" srcId="{FFCF5916-8868-4C17-A6B1-4FC2F7EABF60}" destId="{A5493B4F-C88B-4A4B-9559-36237406CF16}" srcOrd="4" destOrd="0" parTransId="{2FC71BAD-392E-4107-8780-213096B1E527}" sibTransId="{9F1D4B19-E1D0-4151-87B1-D0EB2BA15241}"/>
    <dgm:cxn modelId="{2247AB56-512D-4089-92C3-978A472BA11B}" srcId="{FFCF5916-8868-4C17-A6B1-4FC2F7EABF60}" destId="{259BD370-B68B-40D3-AE83-75E25FB848DA}" srcOrd="2" destOrd="0" parTransId="{B12BB2B1-3052-4A26-8149-231BCCEB2F6A}" sibTransId="{A45BEBBC-1F88-4807-AC73-CDB4EC120C28}"/>
    <dgm:cxn modelId="{DC10D32A-BFAA-48BB-A9A7-586E960D8BCB}" type="presOf" srcId="{75ADDB7E-C688-4547-B394-574060B91EB6}" destId="{8F09F334-8E0C-45CE-80CA-67D92FCB6A74}" srcOrd="0" destOrd="0" presId="urn:microsoft.com/office/officeart/2005/8/layout/matrix2"/>
    <dgm:cxn modelId="{928BD174-6F0B-46C7-8C26-6C8EAA2EEFD1}" type="presParOf" srcId="{7A71F0F9-4D99-40C0-9B74-E7CE3CE1C9D7}" destId="{438A1819-515A-4D59-8029-CEF4939E3C8E}" srcOrd="0" destOrd="0" presId="urn:microsoft.com/office/officeart/2005/8/layout/matrix2"/>
    <dgm:cxn modelId="{6A3D0283-0CC3-4E74-B034-C2BB0C47CCF9}" type="presParOf" srcId="{7A71F0F9-4D99-40C0-9B74-E7CE3CE1C9D7}" destId="{5440C592-FC96-46A1-8D2C-DCDD4738DF30}" srcOrd="1" destOrd="0" presId="urn:microsoft.com/office/officeart/2005/8/layout/matrix2"/>
    <dgm:cxn modelId="{0F1C568D-4A55-4BDE-AB7B-88777F482A32}" type="presParOf" srcId="{7A71F0F9-4D99-40C0-9B74-E7CE3CE1C9D7}" destId="{8F09F334-8E0C-45CE-80CA-67D92FCB6A74}" srcOrd="2" destOrd="0" presId="urn:microsoft.com/office/officeart/2005/8/layout/matrix2"/>
    <dgm:cxn modelId="{1628D810-D067-4B4D-9F3B-75C8F73822F5}" type="presParOf" srcId="{7A71F0F9-4D99-40C0-9B74-E7CE3CE1C9D7}" destId="{0763107D-BCEC-4BD9-807B-B3CB244778EC}" srcOrd="3" destOrd="0" presId="urn:microsoft.com/office/officeart/2005/8/layout/matrix2"/>
    <dgm:cxn modelId="{9544E229-5787-4185-A67E-0DCBDAAC7E05}" type="presParOf" srcId="{7A71F0F9-4D99-40C0-9B74-E7CE3CE1C9D7}" destId="{74607474-B2CA-42BB-9C37-609CFDA94FA2}" srcOrd="4" destOrd="0" presId="urn:microsoft.com/office/officeart/2005/8/layout/matrix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8A1819-515A-4D59-8029-CEF4939E3C8E}">
      <dsp:nvSpPr>
        <dsp:cNvPr id="0" name=""/>
        <dsp:cNvSpPr/>
      </dsp:nvSpPr>
      <dsp:spPr>
        <a:xfrm>
          <a:off x="1104181" y="0"/>
          <a:ext cx="3278037" cy="3278037"/>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40C592-FC96-46A1-8D2C-DCDD4738DF30}">
      <dsp:nvSpPr>
        <dsp:cNvPr id="0" name=""/>
        <dsp:cNvSpPr/>
      </dsp:nvSpPr>
      <dsp:spPr>
        <a:xfrm>
          <a:off x="1317253" y="213072"/>
          <a:ext cx="1311215" cy="131121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High CBC impact and low maturity</a:t>
          </a:r>
        </a:p>
      </dsp:txBody>
      <dsp:txXfrm>
        <a:off x="1317253" y="213072"/>
        <a:ext cx="1311215" cy="1311215"/>
      </dsp:txXfrm>
    </dsp:sp>
    <dsp:sp modelId="{8F09F334-8E0C-45CE-80CA-67D92FCB6A74}">
      <dsp:nvSpPr>
        <dsp:cNvPr id="0" name=""/>
        <dsp:cNvSpPr/>
      </dsp:nvSpPr>
      <dsp:spPr>
        <a:xfrm>
          <a:off x="2857931" y="213072"/>
          <a:ext cx="1311215" cy="131121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High CBC impact &amp; high maturity</a:t>
          </a:r>
        </a:p>
      </dsp:txBody>
      <dsp:txXfrm>
        <a:off x="2857931" y="213072"/>
        <a:ext cx="1311215" cy="1311215"/>
      </dsp:txXfrm>
    </dsp:sp>
    <dsp:sp modelId="{0763107D-BCEC-4BD9-807B-B3CB244778EC}">
      <dsp:nvSpPr>
        <dsp:cNvPr id="0" name=""/>
        <dsp:cNvSpPr/>
      </dsp:nvSpPr>
      <dsp:spPr>
        <a:xfrm>
          <a:off x="1317253" y="1753750"/>
          <a:ext cx="1311215" cy="1311215"/>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Low CBC impact and low maturity</a:t>
          </a:r>
        </a:p>
      </dsp:txBody>
      <dsp:txXfrm>
        <a:off x="1317253" y="1753750"/>
        <a:ext cx="1311215" cy="1311215"/>
      </dsp:txXfrm>
    </dsp:sp>
    <dsp:sp modelId="{74607474-B2CA-42BB-9C37-609CFDA94FA2}">
      <dsp:nvSpPr>
        <dsp:cNvPr id="0" name=""/>
        <dsp:cNvSpPr/>
      </dsp:nvSpPr>
      <dsp:spPr>
        <a:xfrm>
          <a:off x="2857931" y="1753750"/>
          <a:ext cx="1311215" cy="1311215"/>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Low CBC impact and high maturity</a:t>
          </a:r>
        </a:p>
      </dsp:txBody>
      <dsp:txXfrm>
        <a:off x="2857931" y="1753750"/>
        <a:ext cx="1311215" cy="131121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8A1819-515A-4D59-8029-CEF4939E3C8E}">
      <dsp:nvSpPr>
        <dsp:cNvPr id="0" name=""/>
        <dsp:cNvSpPr/>
      </dsp:nvSpPr>
      <dsp:spPr>
        <a:xfrm>
          <a:off x="1104181" y="0"/>
          <a:ext cx="3278037" cy="3278037"/>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40C592-FC96-46A1-8D2C-DCDD4738DF30}">
      <dsp:nvSpPr>
        <dsp:cNvPr id="0" name=""/>
        <dsp:cNvSpPr/>
      </dsp:nvSpPr>
      <dsp:spPr>
        <a:xfrm>
          <a:off x="1317253" y="213072"/>
          <a:ext cx="1311215" cy="131121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Low complexity and low maturity</a:t>
          </a:r>
        </a:p>
      </dsp:txBody>
      <dsp:txXfrm>
        <a:off x="1317253" y="213072"/>
        <a:ext cx="1311215" cy="1311215"/>
      </dsp:txXfrm>
    </dsp:sp>
    <dsp:sp modelId="{8F09F334-8E0C-45CE-80CA-67D92FCB6A74}">
      <dsp:nvSpPr>
        <dsp:cNvPr id="0" name=""/>
        <dsp:cNvSpPr/>
      </dsp:nvSpPr>
      <dsp:spPr>
        <a:xfrm>
          <a:off x="2857931" y="213072"/>
          <a:ext cx="1311215" cy="131121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Low complexity &amp; high maturity</a:t>
          </a:r>
        </a:p>
      </dsp:txBody>
      <dsp:txXfrm>
        <a:off x="2857931" y="213072"/>
        <a:ext cx="1311215" cy="1311215"/>
      </dsp:txXfrm>
    </dsp:sp>
    <dsp:sp modelId="{0763107D-BCEC-4BD9-807B-B3CB244778EC}">
      <dsp:nvSpPr>
        <dsp:cNvPr id="0" name=""/>
        <dsp:cNvSpPr/>
      </dsp:nvSpPr>
      <dsp:spPr>
        <a:xfrm>
          <a:off x="1317253" y="1753750"/>
          <a:ext cx="1311215" cy="1311215"/>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High complexity and low maturity</a:t>
          </a:r>
        </a:p>
      </dsp:txBody>
      <dsp:txXfrm>
        <a:off x="1317253" y="1753750"/>
        <a:ext cx="1311215" cy="1311215"/>
      </dsp:txXfrm>
    </dsp:sp>
    <dsp:sp modelId="{74607474-B2CA-42BB-9C37-609CFDA94FA2}">
      <dsp:nvSpPr>
        <dsp:cNvPr id="0" name=""/>
        <dsp:cNvSpPr/>
      </dsp:nvSpPr>
      <dsp:spPr>
        <a:xfrm>
          <a:off x="2857931" y="1753750"/>
          <a:ext cx="1311215" cy="1311215"/>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High complexity and high maturity</a:t>
          </a:r>
        </a:p>
      </dsp:txBody>
      <dsp:txXfrm>
        <a:off x="2857931" y="1753750"/>
        <a:ext cx="1311215" cy="1311215"/>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73A2-1988-4E16-B817-5522DD82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5235</Words>
  <Characters>29841</Characters>
  <Application>Microsoft Office Word</Application>
  <DocSecurity>4</DocSecurity>
  <Lines>248</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International Services</Company>
  <LinksUpToDate>false</LinksUpToDate>
  <CharactersWithSpaces>35006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Vasileios VASILATOS</cp:lastModifiedBy>
  <cp:revision>2</cp:revision>
  <cp:lastPrinted>2013-06-17T16:54:00Z</cp:lastPrinted>
  <dcterms:created xsi:type="dcterms:W3CDTF">2017-06-23T10:07:00Z</dcterms:created>
  <dcterms:modified xsi:type="dcterms:W3CDTF">2017-06-23T10:07:00Z</dcterms:modified>
</cp:coreProperties>
</file>